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CCE9ED" w14:textId="77777777" w:rsidR="00852701" w:rsidRDefault="002937C8" w:rsidP="00DA3D41">
      <w:pPr>
        <w:pStyle w:val="Title"/>
      </w:pPr>
      <w:r>
        <w:t>What Is A Good Predic</w:t>
      </w:r>
      <w:bookmarkStart w:id="0" w:name="_GoBack"/>
      <w:bookmarkEnd w:id="0"/>
      <w:r>
        <w:t>tion?</w:t>
      </w:r>
    </w:p>
    <w:p w14:paraId="0237056A" w14:textId="77777777" w:rsidR="006C790D" w:rsidRDefault="006C790D" w:rsidP="00DA3D41">
      <w:pPr>
        <w:pStyle w:val="Quote"/>
      </w:pPr>
      <w:r w:rsidRPr="006C790D">
        <w:t xml:space="preserve">…an intellectual trait widely considered a </w:t>
      </w:r>
      <w:r>
        <w:t xml:space="preserve">great asset in science – </w:t>
      </w:r>
      <w:r w:rsidRPr="006C790D">
        <w:t>the commitment to parsimony</w:t>
      </w:r>
      <w:r>
        <w:t xml:space="preserve"> – </w:t>
      </w:r>
      <w:r w:rsidRPr="006C790D">
        <w:t>can be a substantial liability in real-world forecasting exercises.</w:t>
      </w:r>
      <w:r>
        <w:t xml:space="preserve"> </w:t>
      </w:r>
      <w:r>
        <w:fldChar w:fldCharType="begin"/>
      </w:r>
      <w:r w:rsidR="002937C8">
        <w:instrText xml:space="preserve"> ADDIN ZOTERO_ITEM CSL_CITATION {"citationID":"pLNstJTR","properties":{"formattedCitation":"(Tetlock 2005, 68)","plainCitation":"(Tetlock 2005, 68)"},"citationItems":[{"id":525,"uris":["http://zotero.org/users/270153/items/FBKIJT8X"],"uri":["http://zotero.org/users/270153/items/FBKIJT8X"],"itemData":{"id":525,"type":"book","title":"Expert Political Judgement - How Good Is It? How Can We Know?","publisher":"Princeton University Press","publisher-place":"Princeton and Oxford","event-place":"Princeton and Oxford","author":[{"family":"Tetlock","given":"Philip"}],"issued":{"date-parts":[["2005"]]}},"locator":"68"}],"schema":"https://github.com/citation-style-language/schema/raw/master/csl-citation.json"} </w:instrText>
      </w:r>
      <w:r>
        <w:fldChar w:fldCharType="separate"/>
      </w:r>
      <w:r w:rsidRPr="006C790D">
        <w:rPr>
          <w:rFonts w:ascii="Cambria" w:hAnsi="Cambria"/>
        </w:rPr>
        <w:t>(Tetlock 2005, 68)</w:t>
      </w:r>
      <w:r>
        <w:fldChar w:fldCharType="end"/>
      </w:r>
    </w:p>
    <w:p w14:paraId="13D75E98" w14:textId="77777777" w:rsidR="0092400F" w:rsidRPr="0092400F" w:rsidRDefault="0092400F" w:rsidP="00DA3D41">
      <w:pPr>
        <w:pStyle w:val="Heading1"/>
        <w:numPr>
          <w:ilvl w:val="0"/>
          <w:numId w:val="0"/>
        </w:numPr>
      </w:pPr>
      <w:r>
        <w:t>Abstract</w:t>
      </w:r>
    </w:p>
    <w:p w14:paraId="4854B1B5" w14:textId="079704EC" w:rsidR="00743F1C" w:rsidRDefault="00D66375" w:rsidP="00DA3D41">
      <w:r>
        <w:t>Prediction has not received treatment as a philos</w:t>
      </w:r>
      <w:r w:rsidR="00BB17EC">
        <w:t>ophical topic in its own right. I</w:t>
      </w:r>
      <w:r>
        <w:t xml:space="preserve">t has been discussed in connection with explanation, realism, and other topics. </w:t>
      </w:r>
      <w:r w:rsidR="00BB17EC">
        <w:t xml:space="preserve">But the question “What is a good prediction?” has not been the focus of these treatments. This paper aims to address that question directly. I </w:t>
      </w:r>
      <w:r>
        <w:t xml:space="preserve">set out some central distinctions and stances on prediction: </w:t>
      </w:r>
      <w:r w:rsidR="00BB17EC">
        <w:t xml:space="preserve">between testing and forecasting predictive contexts; between temporal and epistemic notions of prediction; </w:t>
      </w:r>
      <w:r>
        <w:t xml:space="preserve">between prediction claims and activities; </w:t>
      </w:r>
      <w:r w:rsidR="00BB17EC">
        <w:t xml:space="preserve">and </w:t>
      </w:r>
      <w:r>
        <w:t>betwee</w:t>
      </w:r>
      <w:r w:rsidR="00BB17EC">
        <w:t>n predictive goodness and truth.</w:t>
      </w:r>
      <w:r>
        <w:t xml:space="preserve"> </w:t>
      </w:r>
      <w:r w:rsidR="00EB5169">
        <w:t>I go on to argue th</w:t>
      </w:r>
      <w:r w:rsidR="001F6F97">
        <w:t xml:space="preserve">at there </w:t>
      </w:r>
      <w:r w:rsidR="00EB5169">
        <w:t>is no ready-made theory of prediction in terms of extrapolation, laws of nat</w:t>
      </w:r>
      <w:r w:rsidR="00BB17EC">
        <w:t>ure, causation, or mechanisms, because t</w:t>
      </w:r>
      <w:r w:rsidR="00EB5169">
        <w:t xml:space="preserve">here are circumstances in which each produces bad predictions. I review some psychological evidence concerning cognitive styles associated with predictive accuracy; the better style seems to be “fox-like”, as opposed to “hedgehog-like”. Finally I sketch a </w:t>
      </w:r>
      <w:r w:rsidR="001F6F97">
        <w:t xml:space="preserve">philosophical </w:t>
      </w:r>
      <w:r w:rsidR="00EB5169">
        <w:t>theory of good prediction</w:t>
      </w:r>
      <w:r w:rsidR="001F6F97">
        <w:t xml:space="preserve">: a </w:t>
      </w:r>
      <w:r w:rsidR="00EB5169">
        <w:t xml:space="preserve">good predictive activity secures warrant for its claim by identifying </w:t>
      </w:r>
      <w:r w:rsidR="00136FDE">
        <w:t>and verifying</w:t>
      </w:r>
      <w:r w:rsidR="001F6F97">
        <w:t xml:space="preserve"> </w:t>
      </w:r>
      <w:r w:rsidR="001F6F97" w:rsidRPr="001F6F97">
        <w:t>currently</w:t>
      </w:r>
      <w:r w:rsidR="00136FDE" w:rsidRPr="001F6F97">
        <w:t xml:space="preserve"> observable consequences</w:t>
      </w:r>
      <w:r w:rsidR="00136FDE">
        <w:t xml:space="preserve"> of the prediction claim it supports</w:t>
      </w:r>
      <w:r w:rsidR="00865753">
        <w:t>, where “currently observable consequences” need to meet certain specified conditions</w:t>
      </w:r>
      <w:r w:rsidR="00EB5169">
        <w:t xml:space="preserve">. </w:t>
      </w:r>
      <w:r w:rsidR="00136FDE">
        <w:t xml:space="preserve">This account </w:t>
      </w:r>
      <w:r w:rsidR="000424B4">
        <w:t xml:space="preserve">also </w:t>
      </w:r>
      <w:r w:rsidR="00136FDE">
        <w:t>elucidates the plagued question of how exactly prediction and explanation are related.</w:t>
      </w:r>
    </w:p>
    <w:p w14:paraId="743237FB" w14:textId="77777777" w:rsidR="00743F1C" w:rsidRDefault="004C12D4" w:rsidP="00DA3D41">
      <w:pPr>
        <w:pStyle w:val="Heading1"/>
      </w:pPr>
      <w:r>
        <w:lastRenderedPageBreak/>
        <w:t>Prediction as a Neglected Topic</w:t>
      </w:r>
    </w:p>
    <w:p w14:paraId="459A801C" w14:textId="147BE8C2" w:rsidR="00EC4DCE" w:rsidRDefault="00743F1C" w:rsidP="00DA3D41">
      <w:r w:rsidRPr="00EC5CA6">
        <w:t>Philosophers have gi</w:t>
      </w:r>
      <w:r w:rsidR="00EC4DCE">
        <w:t>ven remarkably little thought to prediction, and almost none to prediction as a philosophical topic in its own righ</w:t>
      </w:r>
      <w:r w:rsidR="000616CC">
        <w:t>t</w:t>
      </w:r>
      <w:r w:rsidRPr="00EC5CA6">
        <w:t xml:space="preserve">. The </w:t>
      </w:r>
      <w:r w:rsidR="000616CC">
        <w:t>lack</w:t>
      </w:r>
      <w:r w:rsidRPr="00EC5CA6">
        <w:t xml:space="preserve"> is particularly striking in the philosophy of science, where one </w:t>
      </w:r>
      <w:r w:rsidR="000F4BEF">
        <w:t>might</w:t>
      </w:r>
      <w:r w:rsidRPr="00EC5CA6">
        <w:t xml:space="preserve"> expect prediction to be a central topic. Yet it is not. Undergraduate courses cover confirmation, explanation, laws of nature, </w:t>
      </w:r>
      <w:r w:rsidR="00EC4DCE">
        <w:t>and causation;</w:t>
      </w:r>
      <w:r w:rsidRPr="00EC5CA6">
        <w:t xml:space="preserve"> but </w:t>
      </w:r>
      <w:r w:rsidR="00EC4DCE">
        <w:t>the only questions commonly asked about prediction are whether “novel predictions” have special confirmatory significance, and whether prediction stands in a close logical relation to explanation</w:t>
      </w:r>
      <w:r w:rsidRPr="00EC5CA6">
        <w:t>.</w:t>
      </w:r>
      <w:r w:rsidR="00EC4DCE">
        <w:t xml:space="preserve"> The question, “What is a good prediction?” does not range alongside “What is a good explanation?”, “What is causation?” and the rest.</w:t>
      </w:r>
      <w:r w:rsidRPr="00EC5CA6">
        <w:t xml:space="preserve"> There are no canonical theories of prediction</w:t>
      </w:r>
      <w:r w:rsidR="00EC4DCE">
        <w:t xml:space="preserve"> – neither descriptive theories of what in it fact is, nor prescriptive theories of what </w:t>
      </w:r>
      <w:proofErr w:type="gramStart"/>
      <w:r w:rsidR="00EC4DCE">
        <w:t>it must</w:t>
      </w:r>
      <w:proofErr w:type="gramEnd"/>
      <w:r w:rsidR="00EC4DCE">
        <w:t xml:space="preserve"> be like to be good</w:t>
      </w:r>
      <w:r w:rsidRPr="00EC5CA6">
        <w:t xml:space="preserve">. No great philosopher has staked out a view of the topic. Carl </w:t>
      </w:r>
      <w:proofErr w:type="spellStart"/>
      <w:r w:rsidRPr="00EC5CA6">
        <w:t>Hempel</w:t>
      </w:r>
      <w:proofErr w:type="spellEnd"/>
      <w:r w:rsidRPr="00EC5CA6">
        <w:t xml:space="preserve"> </w:t>
      </w:r>
      <w:r w:rsidR="000F4BEF">
        <w:t>studied the logic</w:t>
      </w:r>
      <w:r w:rsidR="00616EA3">
        <w:t xml:space="preserve"> of c</w:t>
      </w:r>
      <w:r w:rsidRPr="00EC5CA6">
        <w:t>onfirmation</w:t>
      </w:r>
      <w:r w:rsidR="000F4BEF">
        <w:t xml:space="preserve"> </w:t>
      </w:r>
      <w:r w:rsidR="00616EA3">
        <w:t xml:space="preserve">and </w:t>
      </w:r>
      <w:r w:rsidR="000F4BEF">
        <w:t>of explanation</w:t>
      </w:r>
      <w:r w:rsidR="00616EA3">
        <w:t xml:space="preserve"> </w:t>
      </w:r>
      <w:r w:rsidR="00616EA3">
        <w:fldChar w:fldCharType="begin"/>
      </w:r>
      <w:r w:rsidR="002937C8">
        <w:instrText xml:space="preserve"> ADDIN ZOTERO_ITEM CSL_CITATION {"citationID":"QTzICJK7","properties":{"formattedCitation":"(C. G. Hempel 1945a; C. G. Hempel 1945b; C. Hempel and Oppenheim 1948)","plainCitation":"(C. G. Hempel 1945a; C. G. Hempel 1945b; C. Hempel and Oppenheim 1948)"},"citationItems":[{"id":490,"uris":["http://zotero.org/users/270153/items/2MJTBI69"],"uri":["http://zotero.org/users/270153/items/2MJTBI69"],"itemData":{"id":490,"type":"article-journal","title":"Studies in the Logic of Confirmation (I.)","container-title":"Mind","page":"1-26","volume":"54","author":[{"family":"Hempel","given":"Carl G."}],"issued":{"date-parts":[["1945"]]}}},{"id":521,"uris":["http://zotero.org/users/270153/items/5VXPCWEZ"],"uri":["http://zotero.org/users/270153/items/5VXPCWEZ"],"itemData":{"id":521,"type":"article-journal","title":"Studies in the Logic of Confirmation (II.)","container-title":"Mind","page":"97-121","volume":"54","author":[{"family":"Hempel","given":"Carl G."}],"issued":{"date-parts":[["1945"]]}}},{"id":481,"uris":["http://zotero.org/users/270153/items/R8RCEUSH"],"uri":["http://zotero.org/users/270153/items/R8RCEUSH"],"itemData":{"id":481,"type":"article-journal","title":"Studies in the Logic of Explanation","container-title":"Philosophy of Science","page":"135-175","volume":"15","issue":"2","author":[{"family":"Hempel","given":"Carl"},{"family":"Oppenheim","given":"Paul"}],"issued":{"date-parts":[["1948"]]}}}],"schema":"https://github.com/citation-style-language/schema/raw/master/csl-citation.json"} </w:instrText>
      </w:r>
      <w:r w:rsidR="00616EA3">
        <w:fldChar w:fldCharType="separate"/>
      </w:r>
      <w:r w:rsidR="00616EA3" w:rsidRPr="00616EA3">
        <w:rPr>
          <w:rFonts w:ascii="Cambria" w:hAnsi="Cambria"/>
        </w:rPr>
        <w:t>(C. G. Hempel 1945a; C. G. Hempel 1945b; C. Hempel and Oppenheim 1948)</w:t>
      </w:r>
      <w:r w:rsidR="00616EA3">
        <w:fldChar w:fldCharType="end"/>
      </w:r>
      <w:r w:rsidRPr="00EC5CA6">
        <w:t xml:space="preserve">, but </w:t>
      </w:r>
      <w:r w:rsidR="00616EA3">
        <w:t xml:space="preserve">he did </w:t>
      </w:r>
      <w:r w:rsidRPr="00EC5CA6">
        <w:t xml:space="preserve">not </w:t>
      </w:r>
      <w:r w:rsidR="00616EA3">
        <w:t xml:space="preserve">write </w:t>
      </w:r>
      <w:r w:rsidRPr="00EC5CA6">
        <w:t xml:space="preserve">“Studies in the Logic of Prediction”. Prediction is discussed </w:t>
      </w:r>
      <w:r>
        <w:t>in both the</w:t>
      </w:r>
      <w:r w:rsidRPr="00EC5CA6">
        <w:t xml:space="preserve"> </w:t>
      </w:r>
      <w:r>
        <w:t xml:space="preserve">aforementioned </w:t>
      </w:r>
      <w:r w:rsidR="00616EA3">
        <w:t>studies</w:t>
      </w:r>
      <w:r w:rsidRPr="00EC5CA6">
        <w:t xml:space="preserve">, but </w:t>
      </w:r>
      <w:r w:rsidR="00EC4DCE">
        <w:t xml:space="preserve">again only </w:t>
      </w:r>
      <w:r w:rsidRPr="00EC5CA6">
        <w:t>incidentally, in relat</w:t>
      </w:r>
      <w:r w:rsidR="00EC4DCE">
        <w:t>ion to the central topic.</w:t>
      </w:r>
    </w:p>
    <w:p w14:paraId="5331899D" w14:textId="53DF7ECE" w:rsidR="002937C8" w:rsidRPr="00EC5CA6" w:rsidRDefault="000616CC" w:rsidP="002937C8">
      <w:r>
        <w:t xml:space="preserve">Given this picture of philosophical </w:t>
      </w:r>
      <w:r w:rsidR="002937C8" w:rsidRPr="00EC5CA6">
        <w:t xml:space="preserve">neglect, it is an easy matter to read </w:t>
      </w:r>
      <w:r w:rsidR="002937C8">
        <w:t>much</w:t>
      </w:r>
      <w:r w:rsidR="002937C8" w:rsidRPr="00EC5CA6">
        <w:t xml:space="preserve"> of what philosophers of science have published on prediction in the last hundred years</w:t>
      </w:r>
      <w:r w:rsidR="002937C8">
        <w:t xml:space="preserve"> or so</w:t>
      </w:r>
      <w:r w:rsidR="002937C8" w:rsidRPr="00EC5CA6">
        <w:t>. To summarise that scarce literature, philosophers have discussed:</w:t>
      </w:r>
    </w:p>
    <w:p w14:paraId="2E7924E7" w14:textId="77777777" w:rsidR="002937C8" w:rsidRDefault="002937C8" w:rsidP="002937C8">
      <w:pPr>
        <w:pStyle w:val="ListParagraph"/>
        <w:numPr>
          <w:ilvl w:val="0"/>
          <w:numId w:val="3"/>
        </w:numPr>
      </w:pPr>
      <w:r w:rsidRPr="00EC5CA6">
        <w:t xml:space="preserve">whether prediction is a goal of science </w:t>
      </w:r>
      <w:r>
        <w:fldChar w:fldCharType="begin"/>
      </w:r>
      <w:r>
        <w:instrText xml:space="preserve"> ADDIN ZOTERO_ITEM CSL_CITATION {"citationID":"XBqbkrku","properties":{"formattedCitation":"(e.g. Whitmore 1942; Salmon 1981; Douglas 2009)","plainCitation":"(e.g. Whitmore 1942; Salmon 1981; Douglas 2009)"},"citationItems":[{"id":548,"uris":["http://zotero.org/users/270153/items/RX4ATWQJ"],"uri":["http://zotero.org/users/270153/items/RX4ATWQJ"],"itemData":{"id":548,"type":"article-journal","title":"The Status of Prediction","container-title":"The Journal of Philosophy","page":"5-14","volume":"39","issue":"1","author":[{"family":"Whitmore","given":"Charles E."}],"issued":{"date-parts":[["1942"]]}},"prefix":"e.g."},{"id":536,"uris":["http://zotero.org/users/270153/items/BHJSCJX7"],"uri":["http://zotero.org/users/270153/items/BHJSCJX7"],"itemData":{"id":536,"type":"article-journal","title":"Rational Prediction","container-title":"The British Journal for the Philosophy of Science","page":"115-125","volume":"32","issue":"2","author":[{"family":"Salmon","given":"Wesley C."}],"issued":{"date-parts":[["1981"]]}}},{"id":550,"uris":["http://zotero.org/users/270153/items/TME7K9KM"],"uri":["http://zotero.org/users/270153/items/TME7K9KM"],"itemData":{"id":550,"type":"article-journal","title":"Reintroducing Prediction to Explanation","container-title":"Philosophy of Science","page":"444-463","volume":"76","author":[{"family":"Douglas","given":"Heather"}],"issued":{"date-parts":[["2009"]]}}}],"schema":"https://github.com/citation-style-language/schema/raw/master/csl-citation.json"} </w:instrText>
      </w:r>
      <w:r>
        <w:fldChar w:fldCharType="separate"/>
      </w:r>
      <w:r w:rsidRPr="00313663">
        <w:rPr>
          <w:rFonts w:ascii="Cambria" w:hAnsi="Cambria"/>
        </w:rPr>
        <w:t>(e.g. Whitmore 1942; Salmon 1981; Douglas 2009)</w:t>
      </w:r>
      <w:r>
        <w:fldChar w:fldCharType="end"/>
      </w:r>
      <w:r>
        <w:t>;</w:t>
      </w:r>
    </w:p>
    <w:p w14:paraId="788975BA" w14:textId="77777777" w:rsidR="002937C8" w:rsidRPr="00EC5CA6" w:rsidRDefault="002937C8" w:rsidP="002937C8">
      <w:pPr>
        <w:pStyle w:val="ListParagraph"/>
        <w:numPr>
          <w:ilvl w:val="0"/>
          <w:numId w:val="3"/>
        </w:numPr>
      </w:pPr>
      <w:r w:rsidRPr="00EC5CA6">
        <w:t>how predictions are related to explanations</w:t>
      </w:r>
      <w:r>
        <w:t xml:space="preserve">, especially when the latter are construed as essentially deductive in character </w:t>
      </w:r>
      <w:r>
        <w:fldChar w:fldCharType="begin"/>
      </w:r>
      <w:r>
        <w:instrText xml:space="preserve"> ADDIN ZOTERO_ITEM CSL_CITATION {"citationID":"b37Xi6aX","properties":{"formattedCitation":"(e.g. C. Hempel and Oppenheim 1948; Scheffler 1957; Rescher 1958; Canfield and Lehrer 1961; Rescher 1963; Kim 1964; Suchting 1967; Hanna 1969; Douglas 2009)","plainCitation":"(e.g. C. Hempel and Oppenheim 1948; Scheffler 1957; Rescher 1958; Canfield and Lehrer 1961; Rescher 1963; Kim 1964; Suchting 1967; Hanna 1969; Douglas 2009)"},"citationItems":[{"id":481,"uris":["http://zotero.org/users/270153/items/R8RCEUSH"],"uri":["http://zotero.org/users/270153/items/R8RCEUSH"],"itemData":{"id":481,"type":"article-journal","title":"Studies in the Logic of Explanation","container-title":"Philosophy of Science","page":"135-175","volume":"15","issue":"2","author":[{"family":"Hempel","given":"Carl"},{"family":"Oppenheim","given":"Paul"}],"issued":{"date-parts":[["1948"]]}},"prefix":"e.g."},{"id":533,"uris":["http://zotero.org/users/270153/items/7GTE2CFU"],"uri":["http://zotero.org/users/270153/items/7GTE2CFU"],"itemData":{"id":533,"type":"article-journal","title":"Explanation, Prediction, and Abstraction","container-title":"The British Journal for the Philosophy of Science","page":"293-309","volume":"7","issue":"28","author":[{"family":"Scheffler","given":"Israel"}],"issued":{"date-parts":[["1957"]]}}},{"id":549,"uris":["http://zotero.org/users/270153/items/T2S8DR6I"],"uri":["http://zotero.org/users/270153/items/T2S8DR6I"],"itemData":{"id":549,"type":"article-journal","title":"On Prediction and Explanation","page":"281-290","volume":"8","issue":"32","author":[{"family":"Rescher","given":"Nicholas"}],"issued":{"date-parts":[["1958"]]}}},{"id":559,"uris":["http://zotero.org/users/270153/items/ZS3CIVSE"],"uri":["http://zotero.org/users/270153/items/ZS3CIVSE"],"itemData":{"id":559,"type":"article-journal","title":"A Note on Prediction and Deduction","container-title":"Philosophy of Science","page":"204-208","volume":"28","issue":"2","author":[{"family":"Canfield","given":"John"},{"family":"Lehrer","given":"Keith"}],"issued":{"date-parts":[["1961"]]}}},{"id":530,"uris":["http://zotero.org/users/270153/items/75DJN9US"],"uri":["http://zotero.org/users/270153/items/75DJN9US"],"itemData":{"id":530,"type":"article-journal","title":"Discrete State Systems, Markov Chains, and Problems in the Theory of Scientific Explanation and Prediction","container-title":"Philosophy of Science","page":"325-345","volume":"30","issue":"4","author":[{"family":"Rescher","given":"Nicholas"}],"issued":{"date-parts":[["1963"]]}}},{"id":541,"uris":["http://zotero.org/users/270153/items/NPIBNGMS"],"uri":["http://zotero.org/users/270153/items/NPIBNGMS"],"itemData":{"id":541,"type":"article-journal","title":"Inference, Explanation, and Prediction","container-title":"The Journal of Philosophy","page":"360-368","volume":"61","issue":"12","author":[{"family":"Kim","given":"Jaegwon"}],"issued":{"date-parts":[["1964"]]}}},{"id":544,"uris":["http://zotero.org/users/270153/items/PV66KMX3"],"uri":["http://zotero.org/users/270153/items/PV66KMX3"],"itemData":{"id":544,"type":"article-journal","title":"Deductive Explanation and Prediction Revisited","container-title":"Philosophy of Science","page":"41-52","volume":"34","issue":"1","author":[{"family":"Suchting","given":"WA"}],"issued":{"date-parts":[["1967"]]}}},{"id":528,"uris":["http://zotero.org/users/270153/items/66NZJDAD"],"uri":["http://zotero.org/users/270153/items/66NZJDAD"],"itemData":{"id":528,"type":"article-journal","title":"Explanation, Prediction, Description, and Information Theory","container-title":"Synthese","page":"308-334","volume":"20","issue":"3","author":[{"family":"Hanna","given":"Joseph F."}],"issued":{"date-parts":[["1969"]]}}},{"id":550,"uris":["http://zotero.org/users/270153/items/TME7K9KM"],"uri":["http://zotero.org/users/270153/items/TME7K9KM"],"itemData":{"id":550,"type":"article-journal","title":"Reintroducing Prediction to Explanation","container-title":"Philosophy of Science","page":"444-463","volume":"76","author":[{"family":"Douglas","given":"Heather"}],"issued":{"date-parts":[["2009"]]}}}],"schema":"https://github.com/citation-style-language/schema/raw/master/csl-citation.json"} </w:instrText>
      </w:r>
      <w:r>
        <w:fldChar w:fldCharType="separate"/>
      </w:r>
      <w:r w:rsidRPr="00602CF8">
        <w:rPr>
          <w:rFonts w:ascii="Cambria" w:hAnsi="Cambria"/>
        </w:rPr>
        <w:t>(e.g. C. Hempel and Oppenheim 1948; Scheffler 1957; Rescher 1958; Canfield and Lehrer 1961; Rescher 1963; Kim 1964; Suchting 1967; Hanna 1969; Douglas 2009)</w:t>
      </w:r>
      <w:r>
        <w:fldChar w:fldCharType="end"/>
      </w:r>
      <w:r w:rsidRPr="00EC5CA6">
        <w:t>;</w:t>
      </w:r>
    </w:p>
    <w:p w14:paraId="4C76492B" w14:textId="77777777" w:rsidR="002937C8" w:rsidRDefault="002937C8" w:rsidP="002937C8">
      <w:pPr>
        <w:pStyle w:val="ListParagraph"/>
        <w:numPr>
          <w:ilvl w:val="0"/>
          <w:numId w:val="3"/>
        </w:numPr>
      </w:pPr>
      <w:r>
        <w:lastRenderedPageBreak/>
        <w:t xml:space="preserve">how prediction is related to confirmation </w:t>
      </w:r>
      <w:r>
        <w:fldChar w:fldCharType="begin"/>
      </w:r>
      <w:r>
        <w:instrText xml:space="preserve"> ADDIN ZOTERO_ITEM CSL_CITATION {"citationID":"ou0WDFaH","properties":{"formattedCitation":"(e.g. C. G. Hempel 1945a; Matthew 1971; Merrill 1979; Douglas 2009)","plainCitation":"(e.g. C. G. Hempel 1945a; Matthew 1971; Merrill 1979; Douglas 2009)"},"citationItems":[{"id":490,"uris":["http://zotero.org/users/270153/items/2MJTBI69"],"uri":["http://zotero.org/users/270153/items/2MJTBI69"],"itemData":{"id":490,"type":"article-journal","title":"Studies in the Logic of Confirmation (I.)","container-title":"Mind","page":"1-26","volume":"54","author":[{"family":"Hempel","given":"Carl G."}],"issued":{"date-parts":[["1945"]]}},"prefix":"e.g."},{"id":557,"uris":["http://zotero.org/users/270153/items/XW6UE5WU"],"uri":["http://zotero.org/users/270153/items/XW6UE5WU"],"itemData":{"id":557,"type":"article-journal","title":"Prediction and Predication","container-title":"The British Journal for the Philosophy of Science","page":"171-182","volume":"22","issue":"2","author":[{"family":"Matthew","given":"Anthony"}],"issued":{"date-parts":[["1971"]]}}},{"id":542,"uris":["http://zotero.org/users/270153/items/PKV9TNGF"],"uri":["http://zotero.org/users/270153/items/PKV9TNGF"],"itemData":{"id":542,"type":"article-journal","title":"Prediction and Confirmation","container-title":"Philosophy of Science","page":"98-117","volume":"46","issue":"1","author":[{"family":"Merrill","given":"G.H."}],"issued":{"date-parts":[["1979"]]}}},{"id":550,"uris":["http://zotero.org/users/270153/items/TME7K9KM"],"uri":["http://zotero.org/users/270153/items/TME7K9KM"],"itemData":{"id":550,"type":"article-journal","title":"Reintroducing Prediction to Explanation","container-title":"Philosophy of Science","page":"444-463","volume":"76","author":[{"family":"Douglas","given":"Heather"}],"issued":{"date-parts":[["2009"]]}}}],"schema":"https://github.com/citation-style-language/schema/raw/master/csl-citation.json"} </w:instrText>
      </w:r>
      <w:r>
        <w:fldChar w:fldCharType="separate"/>
      </w:r>
      <w:r w:rsidRPr="00616EA3">
        <w:rPr>
          <w:rFonts w:ascii="Cambria" w:hAnsi="Cambria"/>
        </w:rPr>
        <w:t>(e.g. C. G. Hempel 1945a; Matthew 1971; Merrill 1979; Douglas 2009)</w:t>
      </w:r>
      <w:r>
        <w:fldChar w:fldCharType="end"/>
      </w:r>
      <w:r>
        <w:t>;</w:t>
      </w:r>
    </w:p>
    <w:p w14:paraId="70E1E656" w14:textId="77777777" w:rsidR="002937C8" w:rsidRPr="00EC5CA6" w:rsidRDefault="002937C8" w:rsidP="002937C8">
      <w:pPr>
        <w:pStyle w:val="ListParagraph"/>
        <w:numPr>
          <w:ilvl w:val="0"/>
          <w:numId w:val="3"/>
        </w:numPr>
      </w:pPr>
      <w:r>
        <w:t xml:space="preserve">further, </w:t>
      </w:r>
      <w:r w:rsidRPr="00EC5CA6">
        <w:t>whether predictions offer better evidence for or against theories than empirical claims of non-predictive kinds</w:t>
      </w:r>
      <w:r>
        <w:t xml:space="preserve"> </w:t>
      </w:r>
      <w:r>
        <w:fldChar w:fldCharType="begin"/>
      </w:r>
      <w:r>
        <w:instrText xml:space="preserve"> ADDIN ZOTERO_ITEM CSL_CITATION {"citationID":"r5F9i9Lt","properties":{"formattedCitation":"(e.g. C. G. Hempel 1945a; Maher 1988; Maher 1993; White 2003; Lipton 2005; Douglas 2009)","plainCitation":"(e.g. C. G. Hempel 1945a; Maher 1988; Maher 1993; White 2003; Lipton 2005; Douglas 2009)"},"citationItems":[{"id":490,"uris":["http://zotero.org/users/270153/items/2MJTBI69"],"uri":["http://zotero.org/users/270153/items/2MJTBI69"],"itemData":{"id":490,"type":"article-journal","title":"Studies in the Logic of Confirmation (I.)","container-title":"Mind","page":"1-26","volume":"54","author":[{"family":"Hempel","given":"Carl G."}],"issued":{"date-parts":[["1945"]]}},"prefix":"e.g."},{"id":535,"uris":["http://zotero.org/users/270153/items/ATFFMCSS"],"uri":["http://zotero.org/users/270153/items/ATFFMCSS"],"itemData":{"id":535,"type":"article-journal","title":"Prediction, Accommodation, and the Logic of Discovery","container-title":"PSA: Proceedings of the Biennial Meeting of the Philosophy of Science Association","page":"273-285","volume":"1","author":[{"family":"Maher","given":"Patrick"}],"issued":{"date-parts":[["1988"]]}}},{"id":558,"uris":["http://zotero.org/users/270153/items/XZW2GIZ4"],"uri":["http://zotero.org/users/270153/items/XZW2GIZ4"],"itemData":{"id":558,"type":"article-journal","title":"Howson and Franklin on Prediction","container-title":"Philosophy of Science","page":"329-340","volume":"60","issue":"2","author":[{"family":"Maher","given":"Patrick"}],"issued":{"date-parts":[["1993"]]}}},{"id":526,"uris":["http://zotero.org/users/270153/items/4A2E7SIV"],"uri":["http://zotero.org/users/270153/items/4A2E7SIV"],"itemData":{"id":526,"type":"article-journal","title":"The Epistemic Advantage of Prediction over Accommodation","container-title":"Mind","page":"653-683","volume":"112","issue":"448","author":[{"family":"White","given":"Roger"}],"issued":{"date-parts":[["2003"]]}}},{"id":454,"uris":["http://zotero.org/users/270153/items/M6QAEESC"],"uri":["http://zotero.org/users/270153/items/M6QAEESC"],"itemData":{"id":454,"type":"article-journal","title":"Testing Hypotheses: Prediction and Prejudice","container-title":"Science","page":"219-221","volume":"307","issue":"5707","author":[{"family":"Lipton","given":"Peter"}],"issued":{"date-parts":[["2005"]]}}},{"id":550,"uris":["http://zotero.org/users/270153/items/TME7K9KM"],"uri":["http://zotero.org/users/270153/items/TME7K9KM"],"itemData":{"id":550,"type":"article-journal","title":"Reintroducing Prediction to Explanation","container-title":"Philosophy of Science","page":"444-463","volume":"76","author":[{"family":"Douglas","given":"Heather"}],"issued":{"date-parts":[["2009"]]}}}],"schema":"https://github.com/citation-style-language/schema/raw/master/csl-citation.json"} </w:instrText>
      </w:r>
      <w:r>
        <w:fldChar w:fldCharType="separate"/>
      </w:r>
      <w:r w:rsidRPr="00616EA3">
        <w:rPr>
          <w:rFonts w:ascii="Cambria" w:hAnsi="Cambria"/>
        </w:rPr>
        <w:t>(e.g. C. G. Hempel 1945a; Maher 1988; Maher 1993; White 2003; Lipton 2005; Douglas 2009)</w:t>
      </w:r>
      <w:r>
        <w:fldChar w:fldCharType="end"/>
      </w:r>
      <w:r w:rsidRPr="00EC5CA6">
        <w:t>;</w:t>
      </w:r>
    </w:p>
    <w:p w14:paraId="254E6AC7" w14:textId="77777777" w:rsidR="002937C8" w:rsidRPr="00EC5CA6" w:rsidRDefault="002937C8" w:rsidP="002937C8">
      <w:pPr>
        <w:pStyle w:val="ListParagraph"/>
        <w:numPr>
          <w:ilvl w:val="0"/>
          <w:numId w:val="3"/>
        </w:numPr>
      </w:pPr>
      <w:r w:rsidRPr="00EC5CA6">
        <w:t xml:space="preserve">whether “novel predictions” offer evidence for scientific realism, or can be accommodated by various anti-realisms  </w:t>
      </w:r>
      <w:r>
        <w:fldChar w:fldCharType="begin"/>
      </w:r>
      <w:r>
        <w:instrText xml:space="preserve"> ADDIN ZOTERO_ITEM CSL_CITATION {"citationID":"Mprgawks","properties":{"formattedCitation":"(e.g. Van Fraassen 1980; Laudan 1981; Lawson 1985; Lipton 2004; Lipton 2005)","plainCitation":"(e.g. Van Fraassen 1980; Laudan 1981; Lawson 1985; Lipton 2004; Lipton 2005)"},"citationItems":[{"id":361,"uris":["http://zotero.org/users/270153/items/SHFPIGTE"],"uri":["http://zotero.org/users/270153/items/SHFPIGTE"],"itemData":{"id":361,"type":"book","title":"The Scientific Image","publisher":"Oxford University Press","publisher-place":"Oxford","event-place":"Oxford","author":[{"family":"Van Fraassen","given":"Bas"}],"issued":{"date-parts":[["1980"]]}},"prefix":"e.g."},{"id":487,"uris":["http://zotero.org/users/270153/items/WT55XX54"],"uri":["http://zotero.org/users/270153/items/WT55XX54"],"itemData":{"id":487,"type":"article-journal","title":"A Confutation of Convergent Realism","container-title":"Philosophy of Science","page":"19-49","volume":"48","issue":"1","author":[{"family":"Laudan","given":"Larry"}],"issued":{"date-parts":[["1981"]]}}},{"id":555,"uris":["http://zotero.org/users/270153/items/VUNAK2EK"],"uri":["http://zotero.org/users/270153/items/VUNAK2EK"],"itemData":{"id":555,"type":"article-journal","title":"The Context of Prediction (and the Paradox of Confirmation)","container-title":"The British Journal for the Philosophy of Science","page":"393-407","volume":"36","issue":"4","author":[{"family":"Lawson","given":"Tony"}],"issued":{"date-parts":[["1985"]]}}},{"id":352,"uris":["http://zotero.org/users/270153/items/RX33XZQR"],"uri":["http://zotero.org/users/270153/items/RX33XZQR"],"itemData":{"id":352,"type":"book","title":"Inference to the Best Explanation","publisher":"Routledge","publisher-place":"London and New York","edition":"Second edition","event-place":"London and New York","author":[{"family":"Lipton","given":"Peter"}],"issued":{"date-parts":[["2004"]]}}},{"id":454,"uris":["http://zotero.org/users/270153/items/M6QAEESC"],"uri":["http://zotero.org/users/270153/items/M6QAEESC"],"itemData":{"id":454,"type":"article-journal","title":"Testing Hypotheses: Prediction and Prejudice","container-title":"Science","page":"219-221","volume":"307","issue":"5707","author":[{"family":"Lipton","given":"Peter"}],"issued":{"date-parts":[["2005"]]}}}],"schema":"https://github.com/citation-style-language/schema/raw/master/csl-citation.json"} </w:instrText>
      </w:r>
      <w:r>
        <w:fldChar w:fldCharType="separate"/>
      </w:r>
      <w:r w:rsidRPr="00602CF8">
        <w:rPr>
          <w:rFonts w:ascii="Cambria" w:hAnsi="Cambria"/>
        </w:rPr>
        <w:t>(e.g. Van Fraassen 1980; Laudan 1981; Lawson 1985; Lipton 2004; Lipton 2005)</w:t>
      </w:r>
      <w:r>
        <w:fldChar w:fldCharType="end"/>
      </w:r>
      <w:r>
        <w:t>.</w:t>
      </w:r>
    </w:p>
    <w:p w14:paraId="74572F80" w14:textId="77777777" w:rsidR="00E910ED" w:rsidRDefault="002937C8" w:rsidP="002937C8">
      <w:r w:rsidRPr="00EC5CA6">
        <w:t xml:space="preserve">Philosophers have not </w:t>
      </w:r>
      <w:r>
        <w:t>seriously asked</w:t>
      </w:r>
      <w:r w:rsidRPr="00EC5CA6">
        <w:t xml:space="preserve"> how predictions are generated, or how we distinguish, or ought to distinguish, good from bad predictions. Sometimes it seems that they have assumed that predictions are a deductive fall-out of theorising, and are thus generated more or less automatically. It </w:t>
      </w:r>
      <w:r w:rsidR="00EC0674">
        <w:t xml:space="preserve">remains </w:t>
      </w:r>
      <w:r w:rsidRPr="00EC5CA6">
        <w:t xml:space="preserve">common to see it assumed that universal generalisations </w:t>
      </w:r>
      <w:r w:rsidR="00E910ED">
        <w:t xml:space="preserve">employing empirical predicates – such as “All ravens are black” – </w:t>
      </w:r>
      <w:r w:rsidRPr="00EC5CA6">
        <w:t>have predictive import</w:t>
      </w:r>
      <w:r w:rsidR="00EC0674">
        <w:t>,</w:t>
      </w:r>
      <w:r w:rsidR="00E910ED">
        <w:t xml:space="preserve"> such as “The raven I see at the raven park tomorrow will be black.” F</w:t>
      </w:r>
      <w:r w:rsidR="00EC0674">
        <w:t xml:space="preserve">irst Pierre </w:t>
      </w:r>
      <w:proofErr w:type="spellStart"/>
      <w:r w:rsidR="00EC0674">
        <w:t>Duhem</w:t>
      </w:r>
      <w:proofErr w:type="spellEnd"/>
      <w:r w:rsidR="00EC0674">
        <w:t xml:space="preserve"> and later W.V.O. Quine clearly showed that this assumption is false </w:t>
      </w:r>
      <w:r w:rsidR="00EC0674">
        <w:fldChar w:fldCharType="begin"/>
      </w:r>
      <w:r w:rsidR="00EC0674">
        <w:instrText xml:space="preserve"> ADDIN ZOTERO_ITEM CSL_CITATION {"citationID":"IDDyWr3n","properties":{"formattedCitation":"(Duhem 1914 Pt II Ch IV; Quine 1953)","plainCitation":"(Duhem 1914 Pt II Ch IV; Quine 1953)"},"citationItems":[{"id":430,"uris":["http://zotero.org/users/270153/items/FTWIS65G"],"uri":["http://zotero.org/users/270153/items/FTWIS65G"],"itemData":{"id":430,"type":"book","title":"The Aim and Structure of Physical Theory","publisher":"Atheneum","publisher-place":"New York","event-place":"New York","language":"Translated from the French by Philip P. Wiener","author":[{"family":"Duhem","given":"Pierre"}],"issued":{"date-parts":[["1914"]],"season":"1974"}},"suffix":"Pt II Ch IV"},{"id":201,"uris":["http://zotero.org/users/270153/items/FIEG4WBT"],"uri":["http://zotero.org/users/270153/items/FIEG4WBT"],"itemData":{"id":201,"type":"chapter","title":"Two Dogmas of Empiricism","container-title":"From a Logical Point of View","publisher":"Harvard University Press","publisher-place":"Cambridge, Mass.","page":"20―43","event-place":"Cambridge, Mass.","author":[{"family":"Quine","given":"W. V.O"}],"issued":{"date-parts":[["1953"]]}}}],"schema":"https://github.com/citation-style-language/schema/raw/master/csl-citation.json"} </w:instrText>
      </w:r>
      <w:r w:rsidR="00EC0674">
        <w:fldChar w:fldCharType="separate"/>
      </w:r>
      <w:r w:rsidR="00EC0674" w:rsidRPr="00EC0674">
        <w:rPr>
          <w:rFonts w:ascii="Cambria" w:hAnsi="Cambria"/>
        </w:rPr>
        <w:t>(Duhem 1914 Pt II Ch IV; Quine 1953)</w:t>
      </w:r>
      <w:r w:rsidR="00EC0674">
        <w:fldChar w:fldCharType="end"/>
      </w:r>
      <w:r w:rsidR="00E910ED">
        <w:t>: merely framing a universal generalisation using empirical predicates does not guarantee predictive import; often, perhaps always, auxiliary hypotheses are needed before there is an entailment.</w:t>
      </w:r>
    </w:p>
    <w:p w14:paraId="15831A57" w14:textId="12ADCE4D" w:rsidR="00E910ED" w:rsidRDefault="00E910ED" w:rsidP="002937C8">
      <w:r>
        <w:t xml:space="preserve">Alternatively, philosophers may be silent on prediction because they see it as a psychological matter, </w:t>
      </w:r>
      <w:r w:rsidR="002937C8" w:rsidRPr="00EC5CA6">
        <w:t xml:space="preserve">like the psychological </w:t>
      </w:r>
      <w:r>
        <w:t>process of theory generation, and thus</w:t>
      </w:r>
      <w:r w:rsidR="002937C8" w:rsidRPr="00EC5CA6">
        <w:t xml:space="preserve"> a</w:t>
      </w:r>
      <w:r>
        <w:t>n empirical</w:t>
      </w:r>
      <w:r w:rsidR="002937C8" w:rsidRPr="00EC5CA6">
        <w:t xml:space="preserve"> mystery about which </w:t>
      </w:r>
      <w:r>
        <w:t xml:space="preserve">they, as </w:t>
      </w:r>
      <w:r w:rsidR="002937C8" w:rsidRPr="00EC5CA6">
        <w:t>phil</w:t>
      </w:r>
      <w:r>
        <w:t xml:space="preserve">osophers, need not say anything. This is not a stable attitude. </w:t>
      </w:r>
      <w:r w:rsidR="00403013">
        <w:t xml:space="preserve">The relation of theory to empirical evidence and to </w:t>
      </w:r>
      <w:proofErr w:type="spellStart"/>
      <w:r w:rsidR="00403013">
        <w:t>superempirical</w:t>
      </w:r>
      <w:proofErr w:type="spellEnd"/>
      <w:r w:rsidR="00403013">
        <w:t xml:space="preserve"> </w:t>
      </w:r>
      <w:proofErr w:type="spellStart"/>
      <w:r w:rsidR="00403013">
        <w:t>virtures</w:t>
      </w:r>
      <w:proofErr w:type="spellEnd"/>
      <w:r w:rsidR="00403013">
        <w:t xml:space="preserve"> is the bread and butter of philosophers of science.  </w:t>
      </w:r>
      <w:r>
        <w:t xml:space="preserve">We do not feel shy about saying what makes a good scientific theory, notwithstanding our lack of insight into the </w:t>
      </w:r>
      <w:r>
        <w:lastRenderedPageBreak/>
        <w:t xml:space="preserve">spark of genius that produced it. Likewise, we should not feel shy about </w:t>
      </w:r>
      <w:r w:rsidR="00403013">
        <w:t xml:space="preserve">saying what makes a good prediction, notwithstanding our lack of psychological insight into the psychological processes of predicting. And anyway, these processes are not as mysterious as all that: we will take a cursory glance at some psychological evidence in Section </w:t>
      </w:r>
      <w:r w:rsidR="00403013">
        <w:fldChar w:fldCharType="begin"/>
      </w:r>
      <w:r w:rsidR="00403013">
        <w:instrText xml:space="preserve"> REF _Ref349132476 \r \h </w:instrText>
      </w:r>
      <w:r w:rsidR="00403013">
        <w:fldChar w:fldCharType="separate"/>
      </w:r>
      <w:r w:rsidR="00403013">
        <w:t>IV</w:t>
      </w:r>
      <w:r w:rsidR="00403013">
        <w:fldChar w:fldCharType="end"/>
      </w:r>
      <w:r w:rsidR="00403013">
        <w:fldChar w:fldCharType="begin"/>
      </w:r>
      <w:r w:rsidR="00403013">
        <w:instrText xml:space="preserve"> PAGEREF _Ref349132476 \h </w:instrText>
      </w:r>
      <w:r w:rsidR="00403013">
        <w:fldChar w:fldCharType="end"/>
      </w:r>
      <w:r w:rsidR="00403013">
        <w:t xml:space="preserve"> below.</w:t>
      </w:r>
    </w:p>
    <w:p w14:paraId="6951748F" w14:textId="088DF06A" w:rsidR="002937C8" w:rsidRDefault="00403013" w:rsidP="00DA3D41">
      <w:r>
        <w:t>There are thus no good excuses for ignoring the</w:t>
      </w:r>
      <w:r w:rsidR="005B52B3">
        <w:t xml:space="preserve"> philosophical</w:t>
      </w:r>
      <w:r w:rsidR="00200B10">
        <w:t xml:space="preserve"> sense of the</w:t>
      </w:r>
      <w:r w:rsidR="002937C8">
        <w:t xml:space="preserve"> question</w:t>
      </w:r>
      <w:r>
        <w:t>,</w:t>
      </w:r>
      <w:r w:rsidR="002937C8">
        <w:t xml:space="preserve"> “What is a good prediction?”</w:t>
      </w:r>
      <w:r>
        <w:t xml:space="preserve"> </w:t>
      </w:r>
      <w:r w:rsidR="00550DFA">
        <w:t>Three points of preamble</w:t>
      </w:r>
      <w:r w:rsidR="002937C8">
        <w:t xml:space="preserve"> are in order before proceeding to </w:t>
      </w:r>
      <w:r w:rsidR="00E910ED">
        <w:t>an answer</w:t>
      </w:r>
      <w:r w:rsidR="002937C8">
        <w:t xml:space="preserve">. First, </w:t>
      </w:r>
      <w:r w:rsidR="00550DFA">
        <w:t xml:space="preserve">I am not denying that </w:t>
      </w:r>
      <w:r w:rsidR="002937C8">
        <w:t xml:space="preserve">prediction is discussed in many disciplines </w:t>
      </w:r>
      <w:r w:rsidR="002937C8">
        <w:rPr>
          <w:i/>
        </w:rPr>
        <w:t>outside</w:t>
      </w:r>
      <w:r w:rsidR="002937C8">
        <w:t xml:space="preserve"> philosophy: economics, epidemiology, climate science, and so forth. None of these disciplines seek to arrive at necessary and sufficient conditions for a prediction to be good, however. Rather they seek practical, usually domain-specific methods for making and improving predictions. Just as paint manufacturers do not struggle with the question “What is colour?”, sciences engaged in forecasting do not struggle with the question “What is a good prediction?” in the general sense that it is intended here. There is no easy answer outside philosophy, just as there is no easy answers can be had to “What is explanation?” or “What is causation?” by pointing out that many scientific disciplines make use of these notions.</w:t>
      </w:r>
    </w:p>
    <w:p w14:paraId="2C301CC4" w14:textId="7B8EE5DF" w:rsidR="00075EBF" w:rsidRDefault="002937C8" w:rsidP="00DA3D41">
      <w:r>
        <w:t>Second,</w:t>
      </w:r>
      <w:r w:rsidR="00075EBF">
        <w:t xml:space="preserve"> there are treatments of prediction by philosophers that are not philosophical</w:t>
      </w:r>
      <w:r w:rsidR="00285162">
        <w:t xml:space="preserve"> in the sense I am seeking</w:t>
      </w:r>
      <w:r w:rsidR="00075EBF">
        <w:t xml:space="preserve">. Chief among them is the work of Peter </w:t>
      </w:r>
      <w:proofErr w:type="spellStart"/>
      <w:r w:rsidR="00075EBF">
        <w:t>Spirtes</w:t>
      </w:r>
      <w:proofErr w:type="spellEnd"/>
      <w:r w:rsidR="00075EBF">
        <w:t xml:space="preserve">, Clark </w:t>
      </w:r>
      <w:proofErr w:type="spellStart"/>
      <w:r w:rsidR="00075EBF">
        <w:t>Glymour</w:t>
      </w:r>
      <w:proofErr w:type="spellEnd"/>
      <w:r w:rsidR="00075EBF">
        <w:t xml:space="preserve"> and Richard </w:t>
      </w:r>
      <w:proofErr w:type="spellStart"/>
      <w:r w:rsidR="00075EBF">
        <w:t>Scheines</w:t>
      </w:r>
      <w:proofErr w:type="spellEnd"/>
      <w:r w:rsidR="00075EBF">
        <w:t xml:space="preserve">. In the context of causation, they distinguish philosophical from mathematical approaches. Philosophical approaches seek necessary and sufficient conditions; mathematical approaches “seek to provide axioms that use the notion of causation without defining it, and to investigate the necessary consequences of those assumptions”  </w:t>
      </w:r>
      <w:r w:rsidR="00075EBF">
        <w:fldChar w:fldCharType="begin"/>
      </w:r>
      <w:r w:rsidR="00075EBF">
        <w:instrText xml:space="preserve"> ADDIN ZOTERO_ITEM CSL_CITATION {"citationID":"c4x1Pcm7","properties":{"formattedCitation":"(Spirtes, Glymour, and Scheines 2000, 3)","plainCitation":"(Spirtes, Glymour, and Scheines 2000, 3)"},"citationItems":[{"id":168,"uris":["http://zotero.org/users/270153/items/C7U3WX7E"],"uri":["http://zotero.org/users/270153/items/C7U3WX7E"],"itemData":{"id":168,"type":"book","title":"Causation, Prediction, and Search","publisher":"Springer-Verlag","publisher-place":"New York, N.Y.","edition":"2","event-place":"New York, N.Y.","author":[{"family":"Spirtes","given":"P."},{"family":"Glymour","given":"C."},{"family":"Scheines","given":"R."}],"issued":{"date-parts":[["2000"]]}},"locator":"3"}],"schema":"https://github.com/citation-style-language/schema/raw/master/csl-citation.json"} </w:instrText>
      </w:r>
      <w:r w:rsidR="00075EBF">
        <w:fldChar w:fldCharType="separate"/>
      </w:r>
      <w:r w:rsidR="00075EBF" w:rsidRPr="00075EBF">
        <w:rPr>
          <w:rFonts w:ascii="Cambria" w:hAnsi="Cambria"/>
        </w:rPr>
        <w:t>(Spirtes, Glymour, and Scheines 2000, 3)</w:t>
      </w:r>
      <w:r w:rsidR="00075EBF">
        <w:fldChar w:fldCharType="end"/>
      </w:r>
      <w:r w:rsidR="00075EBF">
        <w:t xml:space="preserve">. These authors also discuss </w:t>
      </w:r>
      <w:r w:rsidR="00075EBF">
        <w:lastRenderedPageBreak/>
        <w:t xml:space="preserve">prediction at length, but their approach is explicitly not philosophical in the sense of providing necessary and sufficient conditions. </w:t>
      </w:r>
      <w:r w:rsidR="00285162">
        <w:t xml:space="preserve">Similar remarks apply to philosophically-informed work by Judea Pearl and colleagues </w:t>
      </w:r>
      <w:r w:rsidR="00285162">
        <w:fldChar w:fldCharType="begin"/>
      </w:r>
      <w:r w:rsidR="00285162">
        <w:instrText xml:space="preserve"> ADDIN ZOTERO_ITEM CSL_CITATION {"citationID":"TBoHCtVY","properties":{"formattedCitation":"(Halpern and Pearl 2005; Pearl 2009)","plainCitation":"(Halpern and Pearl 2005; Pearl 2009)"},"citationItems":[{"id":394,"uris":["http://zotero.org/users/270153/items/TV35BFI5"],"uri":["http://zotero.org/users/270153/items/TV35BFI5"],"itemData":{"id":394,"type":"article-journal","title":"Causes and Explanations: A Structural Models Approach. Part 1: Causes","container-title":"British Journal for the Philosophy of Science","page":"843-887","volume":"56","author":[{"family":"Halpern","given":"Joseph Y."},{"family":"Pearl","given":"Judea"}],"issued":{"date-parts":[["2005"]]}}},{"id":488,"uris":["http://zotero.org/users/270153/items/WTMRBUHB"],"uri":["http://zotero.org/users/270153/items/WTMRBUHB"],"itemData":{"id":488,"type":"book","title":"Causality: Models, Reasoning and Inference","publisher":"Cambridge University Press","publisher-place":"Cambridge","edition":"2","event-place":"Cambridge","author":[{"family":"Pearl","given":"Judea"}],"issued":{"date-parts":[["2009"]]}}}],"schema":"https://github.com/citation-style-language/schema/raw/master/csl-citation.json"} </w:instrText>
      </w:r>
      <w:r w:rsidR="00285162">
        <w:fldChar w:fldCharType="separate"/>
      </w:r>
      <w:r w:rsidR="00285162" w:rsidRPr="00285162">
        <w:rPr>
          <w:rFonts w:ascii="Cambria" w:hAnsi="Cambria"/>
        </w:rPr>
        <w:t>(Halpern and Pearl 2005; Pearl 2009)</w:t>
      </w:r>
      <w:r w:rsidR="00285162">
        <w:fldChar w:fldCharType="end"/>
      </w:r>
      <w:r w:rsidR="00285162">
        <w:t xml:space="preserve">. </w:t>
      </w:r>
      <w:r w:rsidR="00075EBF">
        <w:t>Thus although they can justifiably claim to have treated the question of this paper, they explicitly set aside the project of answering it in the traditional philosophical fashion</w:t>
      </w:r>
      <w:r w:rsidR="00285162">
        <w:t xml:space="preserve">, which they regard as having track record distinctly inferior to that of the mathematical approach </w:t>
      </w:r>
      <w:r w:rsidR="00285162">
        <w:fldChar w:fldCharType="begin"/>
      </w:r>
      <w:r w:rsidR="00285162">
        <w:instrText xml:space="preserve"> ADDIN ZOTERO_ITEM CSL_CITATION {"citationID":"Jf47rD1t","properties":{"formattedCitation":"(Spirtes, Glymour, and Scheines 2000, 3)","plainCitation":"(Spirtes, Glymour, and Scheines 2000, 3)"},"citationItems":[{"id":168,"uris":["http://zotero.org/users/270153/items/C7U3WX7E"],"uri":["http://zotero.org/users/270153/items/C7U3WX7E"],"itemData":{"id":168,"type":"book","title":"Causation, Prediction, and Search","publisher":"Springer-Verlag","publisher-place":"New York, N.Y.","edition":"2","event-place":"New York, N.Y.","author":[{"family":"Spirtes","given":"P."},{"family":"Glymour","given":"C."},{"family":"Scheines","given":"R."}],"issued":{"date-parts":[["2000"]]}},"locator":"3"}],"schema":"https://github.com/citation-style-language/schema/raw/master/csl-citation.json"} </w:instrText>
      </w:r>
      <w:r w:rsidR="00285162">
        <w:fldChar w:fldCharType="separate"/>
      </w:r>
      <w:r w:rsidR="00285162" w:rsidRPr="00285162">
        <w:rPr>
          <w:rFonts w:ascii="Cambria" w:hAnsi="Cambria"/>
        </w:rPr>
        <w:t>(Spirtes, Glymour, and Scheines 2000, 3)</w:t>
      </w:r>
      <w:r w:rsidR="00285162">
        <w:fldChar w:fldCharType="end"/>
      </w:r>
      <w:r w:rsidR="00075EBF">
        <w:t>. More power to them; but I want to have a go at the traditional kind of answer.</w:t>
      </w:r>
    </w:p>
    <w:p w14:paraId="74F18B55" w14:textId="26A8BFCD" w:rsidR="00066995" w:rsidRDefault="00075EBF" w:rsidP="00DA3D41">
      <w:r>
        <w:t>Third,</w:t>
      </w:r>
      <w:r w:rsidR="002937C8">
        <w:t xml:space="preserve"> let me acknowledge </w:t>
      </w:r>
      <w:r w:rsidR="00285162">
        <w:t>those</w:t>
      </w:r>
      <w:r w:rsidR="002937C8">
        <w:t xml:space="preserve"> philosophical treatments </w:t>
      </w:r>
      <w:r w:rsidR="00285162">
        <w:t xml:space="preserve">that </w:t>
      </w:r>
      <w:r w:rsidR="00285162" w:rsidRPr="00285162">
        <w:rPr>
          <w:i/>
        </w:rPr>
        <w:t>do</w:t>
      </w:r>
      <w:r w:rsidR="00285162">
        <w:t xml:space="preserve"> </w:t>
      </w:r>
      <w:r w:rsidR="003B7EE4">
        <w:t>take prediction seriously. Nancy Cartwright’s recent work is directly concerned wi</w:t>
      </w:r>
      <w:r w:rsidR="00463864">
        <w:t xml:space="preserve">th prediction (and indeed lit the fuse for the present paper). But </w:t>
      </w:r>
      <w:r w:rsidR="003B7EE4">
        <w:t xml:space="preserve">she does not </w:t>
      </w:r>
      <w:r w:rsidR="00463864">
        <w:t xml:space="preserve">seek to </w:t>
      </w:r>
      <w:r w:rsidR="003B7EE4">
        <w:t xml:space="preserve">offer a general answer to the question of this paper, so much as identify false assumptions between predictive activities in policy contexts </w:t>
      </w:r>
      <w:r w:rsidR="003B7EE4">
        <w:fldChar w:fldCharType="begin"/>
      </w:r>
      <w:r w:rsidR="003B7EE4">
        <w:instrText xml:space="preserve"> ADDIN ZOTERO_ITEM CSL_CITATION {"citationID":"ro0ZxiLE","properties":{"formattedCitation":"(e.g. Cartwright 2010; Cartwright 2011)","plainCitation":"(e.g. Cartwright 2010; Cartwright 2011)"},"citationItems":[{"id":301,"uris":["http://zotero.org/users/270153/items/ICVPJ5JV"],"uri":["http://zotero.org/users/270153/items/ICVPJ5JV"],"itemData":{"id":301,"type":"paper-conference","title":"Will this policy work for you? Predicting effectiveness better: How philosophy helps","container-title":"PSA Presidential Address","event":"Philosophy of Science Association Biennial Meeting","URL":"http://personal.lse.ac.uk/cartwrig/PSA%20Address/PSA%202%20Nov%200900.pdf","author":[{"family":"Cartwright","given":"Nancy"}],"issued":{"date-parts":[["2010"]]},"accessed":{"date-parts":[["2012",5,1]]}},"prefix":"e.g. "},{"id":83,"uris":["http://zotero.org/users/270153/items/9TTDJZMF"],"uri":["http://zotero.org/users/270153/items/9TTDJZMF"],"itemData":{"id":83,"type":"article-journal","title":"Predicting what will happen when we act. What counts for warrant?","container-title":"Preventive Medicine","page":"221-4","volume":"53","issue":"4-5","journalAbbreviation":"Prev. Med.","author":[{"family":"Cartwright","given":"Nancy"}],"issued":{"date-parts":[["2011"]]}}}],"schema":"https://github.com/citation-style-language/schema/raw/master/csl-citation.json"} </w:instrText>
      </w:r>
      <w:r w:rsidR="003B7EE4">
        <w:fldChar w:fldCharType="separate"/>
      </w:r>
      <w:r w:rsidR="003B7EE4" w:rsidRPr="003B7EE4">
        <w:rPr>
          <w:rFonts w:ascii="Cambria" w:hAnsi="Cambria"/>
        </w:rPr>
        <w:t>(e.g. Cartwright 2010; Cartwright 2011)</w:t>
      </w:r>
      <w:r w:rsidR="003B7EE4">
        <w:fldChar w:fldCharType="end"/>
      </w:r>
      <w:r w:rsidR="003B7EE4">
        <w:t xml:space="preserve">. Another interesting treatment of prediction, coming closer to directly addressing the general question posed in my title, is </w:t>
      </w:r>
      <w:r w:rsidR="002937C8">
        <w:t xml:space="preserve">Heather Douglas’s </w:t>
      </w:r>
      <w:r w:rsidR="002937C8">
        <w:fldChar w:fldCharType="begin"/>
      </w:r>
      <w:r w:rsidR="003B7EE4">
        <w:instrText xml:space="preserve"> ADDIN ZOTERO_ITEM CSL_CITATION {"citationID":"y5JjC3CI","properties":{"formattedCitation":"(2009)","plainCitation":"(2009)"},"citationItems":[{"id":550,"uris":["http://zotero.org/users/270153/items/TME7K9KM"],"uri":["http://zotero.org/users/270153/items/TME7K9KM"],"itemData":{"id":550,"type":"article-journal","title":"Reintroducing Prediction to Explanation","container-title":"Philosophy of Science","page":"444-463","volume":"76","author":[{"family":"Douglas","given":"Heather"}],"issued":{"date-parts":[["2009"]]}},"suppress-author":true}],"schema":"https://github.com/citation-style-language/schema/raw/master/csl-citation.json"} </w:instrText>
      </w:r>
      <w:r w:rsidR="002937C8">
        <w:fldChar w:fldCharType="separate"/>
      </w:r>
      <w:r w:rsidR="003B7EE4" w:rsidRPr="003B7EE4">
        <w:rPr>
          <w:rFonts w:ascii="Cambria" w:hAnsi="Cambria"/>
        </w:rPr>
        <w:t>(2009)</w:t>
      </w:r>
      <w:r w:rsidR="002937C8">
        <w:fldChar w:fldCharType="end"/>
      </w:r>
      <w:r w:rsidR="00066995">
        <w:t>. Before setting off into the wilderness, let us consider whether it answers our question.</w:t>
      </w:r>
    </w:p>
    <w:p w14:paraId="717B1F9B" w14:textId="77777777" w:rsidR="00743F1C" w:rsidRPr="00EC5CA6" w:rsidRDefault="002937C8" w:rsidP="00DA3D41">
      <w:r>
        <w:t>Douglas starts by making the same point I am making in this section</w:t>
      </w:r>
      <w:r w:rsidR="00743F1C" w:rsidRPr="00EC5CA6">
        <w:t>:</w:t>
      </w:r>
    </w:p>
    <w:p w14:paraId="1B787486" w14:textId="701E0E1C" w:rsidR="00743F1C" w:rsidRPr="00EC5CA6" w:rsidRDefault="00743F1C" w:rsidP="00DA3D41">
      <w:pPr>
        <w:pStyle w:val="Quote"/>
      </w:pPr>
      <w:r w:rsidRPr="00EC5CA6">
        <w:t>Despite the fact that most philosophers acknowledge the general importance of prediction for science, the vast majority of the intellectual focus between the two goals rests on explanation. Prediction is rarely a topic in its own right, appearing mainly in discussions of conﬁrmation, realism, and other topics. It has been this way for over 40 years.</w:t>
      </w:r>
      <w:r w:rsidR="00DA6A01">
        <w:t xml:space="preserve"> </w:t>
      </w:r>
      <w:r w:rsidRPr="00EC5CA6">
        <w:fldChar w:fldCharType="begin"/>
      </w:r>
      <w:r w:rsidR="002937C8">
        <w:instrText xml:space="preserve"> ADDIN ZOTERO_ITEM CSL_CITATION {"citationID":"dccqpenv","properties":{"formattedCitation":"(Douglas 2009, 445)","plainCitation":"(Douglas 2009, 445)"},"citationItems":[{"id":550,"uris":["http://zotero.org/users/270153/items/TME7K9KM"],"uri":["http://zotero.org/users/270153/items/TME7K9KM"],"itemData":{"id":550,"type":"article-journal","title":"Reintroducing Prediction to Explanation","container-title":"Philosophy of Science","page":"444-463","volume":"76","author":[{"family":"Douglas","given":"Heather"}],"issued":{"date-parts":[["2009"]]}},"locator":"445"}],"schema":"https://github.com/citation-style-language/schema/raw/master/csl-citation.json"} </w:instrText>
      </w:r>
      <w:r w:rsidRPr="00EC5CA6">
        <w:fldChar w:fldCharType="separate"/>
      </w:r>
      <w:r w:rsidRPr="00EC5CA6">
        <w:t>(Douglas 2009, 445)</w:t>
      </w:r>
      <w:r w:rsidRPr="00EC5CA6">
        <w:fldChar w:fldCharType="end"/>
      </w:r>
    </w:p>
    <w:p w14:paraId="771AEBDA" w14:textId="77777777" w:rsidR="00743F1C" w:rsidRPr="00EC5CA6" w:rsidRDefault="005C55FE" w:rsidP="00DA3D41">
      <w:pPr>
        <w:rPr>
          <w:iCs/>
        </w:rPr>
      </w:pPr>
      <w:r>
        <w:rPr>
          <w:iCs/>
        </w:rPr>
        <w:lastRenderedPageBreak/>
        <w:t>Welcome as this sentiment is from my perspective</w:t>
      </w:r>
      <w:r w:rsidR="00743F1C" w:rsidRPr="00EC5CA6">
        <w:rPr>
          <w:iCs/>
        </w:rPr>
        <w:t xml:space="preserve">, Douglas </w:t>
      </w:r>
      <w:r>
        <w:rPr>
          <w:iCs/>
        </w:rPr>
        <w:t>goes on to treat</w:t>
      </w:r>
      <w:r w:rsidR="00743F1C" w:rsidRPr="00EC5CA6">
        <w:rPr>
          <w:iCs/>
        </w:rPr>
        <w:t xml:space="preserve"> prediction as if its main value were derivative on a general understanding of the world:</w:t>
      </w:r>
    </w:p>
    <w:p w14:paraId="5ED70CB8" w14:textId="77777777" w:rsidR="00743F1C" w:rsidRPr="00EC5CA6" w:rsidRDefault="00743F1C" w:rsidP="00DA3D41">
      <w:pPr>
        <w:pStyle w:val="Quote"/>
      </w:pPr>
      <w:r w:rsidRPr="00EC5CA6">
        <w:t xml:space="preserve">The value of predictions has always been clear: predictions help us check whether our accounts of the world have any veracity and, once proven reliable, help </w:t>
      </w:r>
      <w:proofErr w:type="gramStart"/>
      <w:r w:rsidRPr="00EC5CA6">
        <w:t>us</w:t>
      </w:r>
      <w:proofErr w:type="gramEnd"/>
      <w:r w:rsidRPr="00EC5CA6">
        <w:t xml:space="preserve"> make better decisions about how to proceed in our lives.</w:t>
      </w:r>
      <w:r w:rsidR="00616EA3">
        <w:t xml:space="preserve"> </w:t>
      </w:r>
      <w:r w:rsidRPr="00EC5CA6">
        <w:fldChar w:fldCharType="begin"/>
      </w:r>
      <w:r w:rsidR="002937C8">
        <w:instrText xml:space="preserve"> ADDIN ZOTERO_ITEM CSL_CITATION {"citationID":"d9IFVvAk","properties":{"formattedCitation":"(Douglas 2009, 453)","plainCitation":"(Douglas 2009, 453)"},"citationItems":[{"id":550,"uris":["http://zotero.org/users/270153/items/TME7K9KM"],"uri":["http://zotero.org/users/270153/items/TME7K9KM"],"itemData":{"id":550,"type":"article-journal","title":"Reintroducing Prediction to Explanation","container-title":"Philosophy of Science","page":"444-463","volume":"76","author":[{"family":"Douglas","given":"Heather"}],"issued":{"date-parts":[["2009"]]}},"locator":"453"}],"schema":"https://github.com/citation-style-language/schema/raw/master/csl-citation.json"} </w:instrText>
      </w:r>
      <w:r w:rsidRPr="00EC5CA6">
        <w:fldChar w:fldCharType="separate"/>
      </w:r>
      <w:r w:rsidRPr="00EC5CA6">
        <w:t>(Douglas 2009, 453)</w:t>
      </w:r>
      <w:r w:rsidRPr="00EC5CA6">
        <w:fldChar w:fldCharType="end"/>
      </w:r>
    </w:p>
    <w:p w14:paraId="7B0FD8DD" w14:textId="77777777" w:rsidR="00743F1C" w:rsidRPr="00EC5CA6" w:rsidRDefault="00066995" w:rsidP="00DA3D41">
      <w:pPr>
        <w:rPr>
          <w:iCs/>
        </w:rPr>
      </w:pPr>
      <w:r>
        <w:rPr>
          <w:iCs/>
        </w:rPr>
        <w:t>Notice that s</w:t>
      </w:r>
      <w:r w:rsidR="00743F1C" w:rsidRPr="00EC5CA6">
        <w:rPr>
          <w:iCs/>
        </w:rPr>
        <w:t xml:space="preserve">he does not say that the value of predictions is that they tell us </w:t>
      </w:r>
      <w:r w:rsidR="00743F1C" w:rsidRPr="00066995">
        <w:rPr>
          <w:i/>
          <w:iCs/>
        </w:rPr>
        <w:t>what is going to happen</w:t>
      </w:r>
      <w:r>
        <w:rPr>
          <w:iCs/>
        </w:rPr>
        <w:t xml:space="preserve">. It is rather that they provide a vehicle for testing our “accounts of the world”.  </w:t>
      </w:r>
      <w:r w:rsidR="00743F1C" w:rsidRPr="00EC5CA6">
        <w:rPr>
          <w:iCs/>
        </w:rPr>
        <w:t xml:space="preserve">This is a convoluted, though philosophically common, way to understand the point of prediction, which for the common person is primarily useful for what it can tell us about the </w:t>
      </w:r>
      <w:r w:rsidR="00743F1C" w:rsidRPr="00EC5CA6">
        <w:rPr>
          <w:i/>
          <w:iCs/>
        </w:rPr>
        <w:t>object</w:t>
      </w:r>
      <w:r w:rsidR="00743F1C" w:rsidRPr="00EC5CA6">
        <w:rPr>
          <w:iCs/>
        </w:rPr>
        <w:t xml:space="preserve"> of prediction, namely, the future, and only secondarily for what it can tell us about the </w:t>
      </w:r>
      <w:r w:rsidR="00743F1C" w:rsidRPr="00EC5CA6">
        <w:rPr>
          <w:i/>
          <w:iCs/>
        </w:rPr>
        <w:t>tools</w:t>
      </w:r>
      <w:r w:rsidR="00743F1C" w:rsidRPr="00EC5CA6">
        <w:rPr>
          <w:iCs/>
        </w:rPr>
        <w:t xml:space="preserve"> used to make the prediction.</w:t>
      </w:r>
      <w:r w:rsidR="00743F1C" w:rsidRPr="00EC5CA6">
        <w:rPr>
          <w:rStyle w:val="FootnoteReference"/>
          <w:iCs/>
        </w:rPr>
        <w:footnoteReference w:id="1"/>
      </w:r>
    </w:p>
    <w:p w14:paraId="29FF9750" w14:textId="77777777" w:rsidR="00743F1C" w:rsidRPr="00EC5CA6" w:rsidRDefault="00743F1C" w:rsidP="00DA3D41">
      <w:pPr>
        <w:rPr>
          <w:iCs/>
        </w:rPr>
      </w:pPr>
      <w:r w:rsidRPr="00EC5CA6">
        <w:rPr>
          <w:iCs/>
        </w:rPr>
        <w:t xml:space="preserve">Douglas’s conception of the usefulness of </w:t>
      </w:r>
      <w:r w:rsidRPr="00EC5CA6">
        <w:rPr>
          <w:i/>
          <w:iCs/>
        </w:rPr>
        <w:t xml:space="preserve">understanding </w:t>
      </w:r>
      <w:r w:rsidRPr="00EC5CA6">
        <w:rPr>
          <w:iCs/>
        </w:rPr>
        <w:t>prediction (as opposed to the usefulness of prediction) is likewise derivative:</w:t>
      </w:r>
    </w:p>
    <w:p w14:paraId="4D5CA9CF" w14:textId="77777777" w:rsidR="00743F1C" w:rsidRPr="00EC5CA6" w:rsidRDefault="00743F1C" w:rsidP="00DA3D41">
      <w:pPr>
        <w:pStyle w:val="Quote"/>
      </w:pPr>
      <w:r w:rsidRPr="00EC5CA6">
        <w:t>The overemphasis on explanation, and excessive distancing between explanation and prediction, has led us astray. If we reconsider the possibilities of a relationship between the two, particularly beyond the straitjacket of a purely logical relationship, we can get a deeper answer concerning why explanations are important, thus answering more thoroughly Salmon’s query, “Why ask ‘why?’?” [</w:t>
      </w:r>
      <w:proofErr w:type="gramStart"/>
      <w:r w:rsidRPr="00EC5CA6">
        <w:t>sic</w:t>
      </w:r>
      <w:proofErr w:type="gramEnd"/>
      <w:r w:rsidRPr="00EC5CA6">
        <w:t>] We can also gain insight into which explanations should be taken more serious</w:t>
      </w:r>
      <w:r w:rsidR="00616EA3">
        <w:t xml:space="preserve">ly in science and which less so. </w:t>
      </w:r>
      <w:r w:rsidRPr="00EC5CA6">
        <w:fldChar w:fldCharType="begin"/>
      </w:r>
      <w:r w:rsidR="002937C8">
        <w:instrText xml:space="preserve"> ADDIN ZOTERO_ITEM CSL_CITATION {"citationID":"6z7B1BfL","properties":{"formattedCitation":"(Douglas 2009, 445)","plainCitation":"(Douglas 2009, 445)"},"citationItems":[{"id":550,"uris":["http://zotero.org/users/270153/items/TME7K9KM"],"uri":["http://zotero.org/users/270153/items/TME7K9KM"],"itemData":{"id":550,"type":"article-journal","title":"Reintroducing Prediction to Explanation","container-title":"Philosophy of Science","page":"444-463","volume":"76","author":[{"family":"Douglas","given":"Heather"}],"issued":{"date-parts":[["2009"]]}},"locator":"445"}],"schema":"https://github.com/citation-style-language/schema/raw/master/csl-citation.json"} </w:instrText>
      </w:r>
      <w:r w:rsidRPr="00EC5CA6">
        <w:fldChar w:fldCharType="separate"/>
      </w:r>
      <w:r w:rsidRPr="00EC5CA6">
        <w:t>(Douglas 2009, 445)</w:t>
      </w:r>
      <w:r w:rsidRPr="00EC5CA6">
        <w:fldChar w:fldCharType="end"/>
      </w:r>
    </w:p>
    <w:p w14:paraId="76EB4A8E" w14:textId="77777777" w:rsidR="00477EDE" w:rsidRDefault="00477EDE" w:rsidP="00DA3D41">
      <w:pPr>
        <w:rPr>
          <w:iCs/>
        </w:rPr>
      </w:pPr>
      <w:r>
        <w:rPr>
          <w:iCs/>
        </w:rPr>
        <w:t>T</w:t>
      </w:r>
      <w:r w:rsidR="00743F1C">
        <w:rPr>
          <w:iCs/>
        </w:rPr>
        <w:t xml:space="preserve">hroughout </w:t>
      </w:r>
      <w:r w:rsidR="00743F1C" w:rsidRPr="00EC5CA6">
        <w:rPr>
          <w:iCs/>
        </w:rPr>
        <w:t>the paper</w:t>
      </w:r>
      <w:r>
        <w:rPr>
          <w:iCs/>
        </w:rPr>
        <w:t>, and especially in the conclud</w:t>
      </w:r>
      <w:r w:rsidR="00743F1C">
        <w:rPr>
          <w:iCs/>
        </w:rPr>
        <w:t xml:space="preserve">ing paragraphs, it is clear that a </w:t>
      </w:r>
      <w:r w:rsidR="00743F1C" w:rsidRPr="00EC5CA6">
        <w:rPr>
          <w:iCs/>
        </w:rPr>
        <w:t xml:space="preserve">theory of </w:t>
      </w:r>
      <w:r w:rsidR="00743F1C" w:rsidRPr="00477EDE">
        <w:rPr>
          <w:i/>
          <w:iCs/>
        </w:rPr>
        <w:t>explanation</w:t>
      </w:r>
      <w:r w:rsidR="00743F1C">
        <w:rPr>
          <w:iCs/>
        </w:rPr>
        <w:t xml:space="preserve"> </w:t>
      </w:r>
      <w:r>
        <w:rPr>
          <w:iCs/>
        </w:rPr>
        <w:t xml:space="preserve">rather than prediction </w:t>
      </w:r>
      <w:r w:rsidR="00236ABB">
        <w:rPr>
          <w:iCs/>
        </w:rPr>
        <w:t xml:space="preserve">is being presented. Prediction does occupy </w:t>
      </w:r>
      <w:r w:rsidR="00236ABB">
        <w:rPr>
          <w:iCs/>
        </w:rPr>
        <w:lastRenderedPageBreak/>
        <w:t>an important role in the picture, since explanation is presented</w:t>
      </w:r>
      <w:r w:rsidR="00743F1C">
        <w:rPr>
          <w:iCs/>
        </w:rPr>
        <w:t xml:space="preserve"> </w:t>
      </w:r>
      <w:r w:rsidR="00743F1C" w:rsidRPr="00EC5CA6">
        <w:rPr>
          <w:iCs/>
        </w:rPr>
        <w:t xml:space="preserve">as, roughly, a tool for generating predictions that may be </w:t>
      </w:r>
      <w:r w:rsidR="00743F1C" w:rsidRPr="00477EDE">
        <w:rPr>
          <w:i/>
          <w:iCs/>
        </w:rPr>
        <w:t>used to test theories</w:t>
      </w:r>
      <w:r w:rsidR="00743F1C" w:rsidRPr="00EC5CA6">
        <w:rPr>
          <w:iCs/>
        </w:rPr>
        <w:t xml:space="preserve">. </w:t>
      </w:r>
      <w:r w:rsidR="00236ABB">
        <w:rPr>
          <w:iCs/>
        </w:rPr>
        <w:t>But t</w:t>
      </w:r>
      <w:r>
        <w:rPr>
          <w:iCs/>
        </w:rPr>
        <w:t xml:space="preserve">he manner in which explanations generate predictions is </w:t>
      </w:r>
      <w:r w:rsidR="00236ABB">
        <w:rPr>
          <w:iCs/>
        </w:rPr>
        <w:t xml:space="preserve">not </w:t>
      </w:r>
      <w:r>
        <w:rPr>
          <w:iCs/>
        </w:rPr>
        <w:t>the subject of close attention, and the question “What makes a prediction good for testing a theory?” is not broached. T</w:t>
      </w:r>
      <w:r w:rsidR="00743F1C">
        <w:rPr>
          <w:iCs/>
        </w:rPr>
        <w:t>he title confirms that explanation is the beneficiary of the discussion: “Reintroduc</w:t>
      </w:r>
      <w:r>
        <w:rPr>
          <w:iCs/>
        </w:rPr>
        <w:t>ing Prediction to Explanation”.</w:t>
      </w:r>
    </w:p>
    <w:p w14:paraId="3B981A0E" w14:textId="77777777" w:rsidR="00743F1C" w:rsidRPr="00EC5CA6" w:rsidRDefault="00236ABB" w:rsidP="00DA3D41">
      <w:pPr>
        <w:rPr>
          <w:iCs/>
        </w:rPr>
      </w:pPr>
      <w:r>
        <w:rPr>
          <w:iCs/>
        </w:rPr>
        <w:t xml:space="preserve">I single </w:t>
      </w:r>
      <w:r w:rsidR="00477EDE">
        <w:rPr>
          <w:iCs/>
        </w:rPr>
        <w:t xml:space="preserve">Douglas’s (very useful) </w:t>
      </w:r>
      <w:r w:rsidR="00743F1C">
        <w:rPr>
          <w:iCs/>
        </w:rPr>
        <w:t xml:space="preserve">paper </w:t>
      </w:r>
      <w:r>
        <w:rPr>
          <w:iCs/>
        </w:rPr>
        <w:t xml:space="preserve">out because it </w:t>
      </w:r>
      <w:r w:rsidR="00743F1C">
        <w:rPr>
          <w:iCs/>
        </w:rPr>
        <w:t>is the closest I have found to an explicit contemporary treatment of prediction</w:t>
      </w:r>
      <w:r>
        <w:rPr>
          <w:iCs/>
        </w:rPr>
        <w:t xml:space="preserve">. Closest, but still not very close: it </w:t>
      </w:r>
      <w:r w:rsidR="00743F1C" w:rsidRPr="00EC5CA6">
        <w:rPr>
          <w:iCs/>
        </w:rPr>
        <w:t xml:space="preserve">does not present a theory of prediction. Douglas </w:t>
      </w:r>
      <w:r w:rsidR="00743F1C">
        <w:rPr>
          <w:iCs/>
        </w:rPr>
        <w:t xml:space="preserve">does not treat </w:t>
      </w:r>
      <w:r w:rsidR="00743F1C" w:rsidRPr="00EC5CA6">
        <w:rPr>
          <w:iCs/>
        </w:rPr>
        <w:t xml:space="preserve">prediction </w:t>
      </w:r>
      <w:r w:rsidR="00743F1C">
        <w:rPr>
          <w:iCs/>
        </w:rPr>
        <w:t xml:space="preserve">as a </w:t>
      </w:r>
      <w:r w:rsidR="00743F1C" w:rsidRPr="00EC5CA6">
        <w:rPr>
          <w:iCs/>
        </w:rPr>
        <w:t xml:space="preserve">philosophical topic </w:t>
      </w:r>
      <w:r w:rsidR="00743F1C" w:rsidRPr="00EC5CA6">
        <w:rPr>
          <w:i/>
          <w:iCs/>
        </w:rPr>
        <w:t>in its own right</w:t>
      </w:r>
      <w:r w:rsidR="00743F1C" w:rsidRPr="00EC5CA6">
        <w:rPr>
          <w:iCs/>
        </w:rPr>
        <w:t>, apart from its links to explanation</w:t>
      </w:r>
      <w:r w:rsidR="00743F1C">
        <w:rPr>
          <w:iCs/>
        </w:rPr>
        <w:t xml:space="preserve">, </w:t>
      </w:r>
      <w:r>
        <w:rPr>
          <w:iCs/>
        </w:rPr>
        <w:t>notwithstanding</w:t>
      </w:r>
      <w:r w:rsidR="00743F1C">
        <w:rPr>
          <w:iCs/>
        </w:rPr>
        <w:t xml:space="preserve"> her apparent awareness of the possibility and lack of such a treatment</w:t>
      </w:r>
      <w:r w:rsidR="00743F1C" w:rsidRPr="00EC5CA6">
        <w:rPr>
          <w:iCs/>
        </w:rPr>
        <w:t>.</w:t>
      </w:r>
    </w:p>
    <w:p w14:paraId="211D814F" w14:textId="72E1EF16" w:rsidR="006948B6" w:rsidRPr="00EA1A8F" w:rsidRDefault="006948B6" w:rsidP="00DA3D41">
      <w:r>
        <w:t xml:space="preserve">I hope that the remainder of this </w:t>
      </w:r>
      <w:r w:rsidR="00BB17EC">
        <w:t>essay</w:t>
      </w:r>
      <w:r>
        <w:t xml:space="preserve"> will dispel the idea that there is little philosophical interest in prediction. </w:t>
      </w:r>
      <w:r w:rsidR="00285162">
        <w:t xml:space="preserve">The next </w:t>
      </w:r>
      <w:r w:rsidR="0092400F">
        <w:t xml:space="preserve">section draws </w:t>
      </w:r>
      <w:r w:rsidR="0019401F">
        <w:t xml:space="preserve">four </w:t>
      </w:r>
      <w:r w:rsidR="0092400F">
        <w:t>basic</w:t>
      </w:r>
      <w:r w:rsidR="00285162">
        <w:t>, important</w:t>
      </w:r>
      <w:r w:rsidR="0092400F">
        <w:t xml:space="preserve"> distinctions </w:t>
      </w:r>
      <w:r w:rsidR="00285162">
        <w:t xml:space="preserve">concerning </w:t>
      </w:r>
      <w:r w:rsidR="0092400F">
        <w:t xml:space="preserve">prediction. </w:t>
      </w:r>
      <w:proofErr w:type="gramStart"/>
      <w:r w:rsidR="00897827">
        <w:t xml:space="preserve">Section </w:t>
      </w:r>
      <w:r w:rsidR="00897827">
        <w:fldChar w:fldCharType="begin"/>
      </w:r>
      <w:r w:rsidR="00897827">
        <w:instrText xml:space="preserve"> REF _Ref349132450 \r \h </w:instrText>
      </w:r>
      <w:r w:rsidR="00DA3D41">
        <w:instrText xml:space="preserve"> \* MERGEFORMAT </w:instrText>
      </w:r>
      <w:r w:rsidR="00897827">
        <w:fldChar w:fldCharType="separate"/>
      </w:r>
      <w:r w:rsidR="00865753">
        <w:t>III</w:t>
      </w:r>
      <w:r w:rsidR="00897827">
        <w:fldChar w:fldCharType="end"/>
      </w:r>
      <w:r w:rsidR="00897827">
        <w:t xml:space="preserve"> considers philosophical resources that might offer ready-made philosophical models of prediction, and finds them all wanting.</w:t>
      </w:r>
      <w:proofErr w:type="gramEnd"/>
      <w:r w:rsidR="00897827">
        <w:t xml:space="preserve"> </w:t>
      </w:r>
      <w:r w:rsidR="0092400F">
        <w:t xml:space="preserve">Section </w:t>
      </w:r>
      <w:r w:rsidR="00897827">
        <w:fldChar w:fldCharType="begin"/>
      </w:r>
      <w:r w:rsidR="00897827">
        <w:instrText xml:space="preserve"> REF _Ref349132476 \r \h </w:instrText>
      </w:r>
      <w:r w:rsidR="00DA3D41">
        <w:instrText xml:space="preserve"> \* MERGEFORMAT </w:instrText>
      </w:r>
      <w:r w:rsidR="00897827">
        <w:fldChar w:fldCharType="separate"/>
      </w:r>
      <w:r w:rsidR="00865753">
        <w:t>IV</w:t>
      </w:r>
      <w:r w:rsidR="00897827">
        <w:fldChar w:fldCharType="end"/>
      </w:r>
      <w:r w:rsidR="00897827">
        <w:t xml:space="preserve"> </w:t>
      </w:r>
      <w:r w:rsidR="0092400F">
        <w:t xml:space="preserve">considers empirical evidence concerning the nature of good prediction, drawn Philip </w:t>
      </w:r>
      <w:proofErr w:type="spellStart"/>
      <w:r w:rsidR="0092400F">
        <w:t>Tetlock’s</w:t>
      </w:r>
      <w:proofErr w:type="spellEnd"/>
      <w:r w:rsidR="0092400F">
        <w:t xml:space="preserve"> large psychological study on predictive reliability of </w:t>
      </w:r>
      <w:r w:rsidR="00897827">
        <w:t>putative political experts</w:t>
      </w:r>
      <w:r w:rsidR="0092400F">
        <w:t>.</w:t>
      </w:r>
      <w:r w:rsidR="00897827">
        <w:t xml:space="preserve"> In Section </w:t>
      </w:r>
      <w:r w:rsidR="00897827">
        <w:fldChar w:fldCharType="begin"/>
      </w:r>
      <w:r w:rsidR="00897827">
        <w:instrText xml:space="preserve"> REF _Ref349132758 \r \h </w:instrText>
      </w:r>
      <w:r w:rsidR="00DA3D41">
        <w:instrText xml:space="preserve"> \* MERGEFORMAT </w:instrText>
      </w:r>
      <w:r w:rsidR="00897827">
        <w:fldChar w:fldCharType="separate"/>
      </w:r>
      <w:r w:rsidR="00865753">
        <w:t>V</w:t>
      </w:r>
      <w:r w:rsidR="00897827">
        <w:fldChar w:fldCharType="end"/>
      </w:r>
      <w:r w:rsidR="00897827">
        <w:t xml:space="preserve"> I </w:t>
      </w:r>
      <w:r w:rsidR="0019401F">
        <w:t>offer a theory of good prediction</w:t>
      </w:r>
      <w:r w:rsidR="00550DFA">
        <w:t>.</w:t>
      </w:r>
    </w:p>
    <w:p w14:paraId="03F67BDC" w14:textId="77777777" w:rsidR="006C67FC" w:rsidRPr="00EC5CA6" w:rsidRDefault="006C67FC" w:rsidP="00DA3D41">
      <w:pPr>
        <w:pStyle w:val="Heading1"/>
      </w:pPr>
      <w:r w:rsidRPr="00EC5CA6">
        <w:t>Distinctions</w:t>
      </w:r>
    </w:p>
    <w:p w14:paraId="21FA5754" w14:textId="77777777" w:rsidR="00115A81" w:rsidRDefault="00115A81" w:rsidP="00DA3D41">
      <w:r w:rsidRPr="00EC5CA6">
        <w:t xml:space="preserve">There are several important distinctions to be drawn concerning different ways one might think about prediction, or alternatively, between different kinds of prediction. Making these distinctions helps us to avoid verbal disputes about whether the word </w:t>
      </w:r>
      <w:r w:rsidRPr="00EC5CA6">
        <w:lastRenderedPageBreak/>
        <w:t>“prediction” is correctly used one way or another.</w:t>
      </w:r>
      <w:r w:rsidR="00550DFA">
        <w:t xml:space="preserve"> It also helps us see in outline what a theory of good prediction might be like.</w:t>
      </w:r>
    </w:p>
    <w:p w14:paraId="1BF4F208" w14:textId="77777777" w:rsidR="00B76DF5" w:rsidRDefault="00B76DF5" w:rsidP="00DA3D41">
      <w:r>
        <w:t xml:space="preserve">First, we can distinguish between two contexts in which predictions are made: the context of </w:t>
      </w:r>
      <w:r>
        <w:rPr>
          <w:i/>
        </w:rPr>
        <w:t>testing</w:t>
      </w:r>
      <w:r>
        <w:t xml:space="preserve"> and the context of </w:t>
      </w:r>
      <w:r>
        <w:rPr>
          <w:i/>
        </w:rPr>
        <w:t>forecasting</w:t>
      </w:r>
      <w:r>
        <w:t>. A prediction made in the context of testing is made for the purpose of testing some hypothesis that was used to generate the prediction. It may not be a serious claim about the future (or any other time); it may be entertained entirely hypothetically. A prediction made in the context of forecasting, on the other hand, is a genuine effort to say what is going to happen. Philosophers of science naturally assume the context of testing: Douglas, as we have seen, expresses the practical importance of prediction in terms of what predictions can tell us about our theories. Epidemiologists and economists, on the other hand, naturally assume the context of forecasting, and would express the importance of prediction in terms of what it can tell us, not about the theories that generated the prediction, but about the future.</w:t>
      </w:r>
    </w:p>
    <w:p w14:paraId="0A39EC5F" w14:textId="5D1530BE" w:rsidR="000E48D6" w:rsidRDefault="00B76DF5" w:rsidP="000E48D6">
      <w:r>
        <w:t xml:space="preserve">Second, we can distinguish between </w:t>
      </w:r>
      <w:r>
        <w:rPr>
          <w:i/>
        </w:rPr>
        <w:t>temporal</w:t>
      </w:r>
      <w:r>
        <w:t xml:space="preserve"> and </w:t>
      </w:r>
      <w:r>
        <w:rPr>
          <w:i/>
        </w:rPr>
        <w:t>epistemic</w:t>
      </w:r>
      <w:r>
        <w:t xml:space="preserve"> predictions (or temporal and epistemic senses of “prediction”</w:t>
      </w:r>
      <w:r w:rsidR="00E32864">
        <w:t xml:space="preserve">; it makes no difference). </w:t>
      </w:r>
      <w:r w:rsidR="00B925CB">
        <w:t xml:space="preserve">A temporal prediction entails a claim about the future. </w:t>
      </w:r>
      <w:r w:rsidR="000E48D6">
        <w:t xml:space="preserve">Thus Israel </w:t>
      </w:r>
      <w:proofErr w:type="spellStart"/>
      <w:r w:rsidR="000E48D6">
        <w:t>Scheffler</w:t>
      </w:r>
      <w:proofErr w:type="spellEnd"/>
      <w:r w:rsidR="000E48D6">
        <w:t xml:space="preserve"> takes it as obvious that predictions are</w:t>
      </w:r>
      <w:r w:rsidR="00E67D15">
        <w:t xml:space="preserve"> </w:t>
      </w:r>
      <w:r w:rsidR="000E48D6">
        <w:t>bound</w:t>
      </w:r>
      <w:r w:rsidR="00E67D15">
        <w:t xml:space="preserve"> to temporal locations</w:t>
      </w:r>
      <w:r w:rsidR="000E48D6">
        <w:t>, and thus cannot be propositions:</w:t>
      </w:r>
    </w:p>
    <w:p w14:paraId="54C3DCB5" w14:textId="2AD9E1C7" w:rsidR="000E48D6" w:rsidRPr="00EC5CA6" w:rsidRDefault="000E48D6" w:rsidP="000E48D6">
      <w:pPr>
        <w:pStyle w:val="Quote"/>
      </w:pPr>
      <w:r w:rsidRPr="00EC5CA6">
        <w:t>…note that ‘is  a prediction’ is not properly applicable to abstract sentences or propositions, since</w:t>
      </w:r>
      <w:r w:rsidR="007951FB">
        <w:t xml:space="preserve"> the same sentence ‘It rains on </w:t>
      </w:r>
      <w:r w:rsidRPr="00EC5CA6">
        <w:t>M</w:t>
      </w:r>
      <w:r w:rsidR="007951FB">
        <w:t xml:space="preserve">ay 8, 1952’ is or is not a </w:t>
      </w:r>
      <w:r w:rsidRPr="00EC5CA6">
        <w:t>predicti</w:t>
      </w:r>
      <w:r w:rsidR="007951FB">
        <w:t xml:space="preserve">on  depending on </w:t>
      </w:r>
      <w:r w:rsidRPr="00EC5CA6">
        <w:t>the temporal circumstances of its utterance.</w:t>
      </w:r>
      <w:r>
        <w:t xml:space="preserve"> </w:t>
      </w:r>
      <w:r>
        <w:fldChar w:fldCharType="begin"/>
      </w:r>
      <w:r>
        <w:instrText xml:space="preserve"> ADDIN ZOTERO_ITEM CSL_CITATION {"citationID":"X4q5EbQc","properties":{"formattedCitation":"(Scheffler 1957, 295)","plainCitation":"(Scheffler 1957, 295)"},"citationItems":[{"id":533,"uris":["http://zotero.org/users/270153/items/7GTE2CFU"],"uri":["http://zotero.org/users/270153/items/7GTE2CFU"],"itemData":{"id":533,"type":"article-journal","title":"Explanation, Prediction, and Abstraction","container-title":"The British Journal for the Philosophy of Science","page":"293-309","volume":"7","issue":"28","author":[{"family":"Scheffler","given":"Israel"}],"issued":{"date-parts":[["1957"]]}},"locator":"295"}],"schema":"https://github.com/citation-style-language/schema/raw/master/csl-citation.json"} </w:instrText>
      </w:r>
      <w:r>
        <w:fldChar w:fldCharType="separate"/>
      </w:r>
      <w:r w:rsidRPr="00844D09">
        <w:rPr>
          <w:rFonts w:ascii="Cambria" w:hAnsi="Cambria"/>
        </w:rPr>
        <w:t>(Scheffler 1957, 295)</w:t>
      </w:r>
      <w:r>
        <w:fldChar w:fldCharType="end"/>
      </w:r>
    </w:p>
    <w:p w14:paraId="20594361" w14:textId="43CDA84E" w:rsidR="000E48D6" w:rsidRDefault="000E48D6" w:rsidP="00B925CB">
      <w:r>
        <w:t>This line of reasoning relies on the implicit premise that a prediction is about the future of the time of utterance.</w:t>
      </w:r>
    </w:p>
    <w:p w14:paraId="1EF5DF72" w14:textId="7C79D4FE" w:rsidR="00B925CB" w:rsidRDefault="000E48D6" w:rsidP="00B925CB">
      <w:r>
        <w:lastRenderedPageBreak/>
        <w:t>On the other hand, a</w:t>
      </w:r>
      <w:r w:rsidR="00E32864">
        <w:t xml:space="preserve">n epistemic prediction </w:t>
      </w:r>
      <w:r w:rsidR="00B925CB">
        <w:t>need not</w:t>
      </w:r>
      <w:r>
        <w:t xml:space="preserve"> entail a claim about the future</w:t>
      </w:r>
      <w:r w:rsidR="00B925CB">
        <w:t xml:space="preserve">, but rather </w:t>
      </w:r>
      <w:r w:rsidR="00E32864">
        <w:t xml:space="preserve">entails </w:t>
      </w:r>
      <w:r w:rsidR="00E32864" w:rsidRPr="00EC5CA6">
        <w:t xml:space="preserve">a claim </w:t>
      </w:r>
      <w:r w:rsidR="00E32864">
        <w:t xml:space="preserve">that </w:t>
      </w:r>
      <w:r w:rsidR="00E32864" w:rsidRPr="00EC5CA6">
        <w:t>(</w:t>
      </w:r>
      <w:proofErr w:type="spellStart"/>
      <w:r w:rsidR="00E32864" w:rsidRPr="00EC5CA6">
        <w:t>i</w:t>
      </w:r>
      <w:proofErr w:type="spellEnd"/>
      <w:r w:rsidR="00E32864" w:rsidRPr="00EC5CA6">
        <w:t xml:space="preserve">) falls short of knowledge, and (ii) does so because the truth of the claim has not yet been checked by </w:t>
      </w:r>
      <w:r w:rsidR="00762E78">
        <w:t>any</w:t>
      </w:r>
      <w:r w:rsidR="00E32864" w:rsidRPr="00EC5CA6">
        <w:t xml:space="preserve"> more direct means than the means by which it was arrived at in the course of making the prediction.</w:t>
      </w:r>
    </w:p>
    <w:p w14:paraId="5989D747" w14:textId="77777777" w:rsidR="00B925CB" w:rsidRPr="00EC5CA6" w:rsidRDefault="00B925CB" w:rsidP="00B925CB">
      <w:r>
        <w:t xml:space="preserve">Thus </w:t>
      </w:r>
      <w:r w:rsidRPr="00EC5CA6">
        <w:t>Heather Douglas writes:</w:t>
      </w:r>
    </w:p>
    <w:p w14:paraId="1814A7D8" w14:textId="77777777" w:rsidR="00B925CB" w:rsidRPr="00EC5CA6" w:rsidRDefault="00B925CB" w:rsidP="00B925CB">
      <w:pPr>
        <w:pStyle w:val="Quote"/>
      </w:pPr>
      <w:r w:rsidRPr="00EC5CA6">
        <w:t xml:space="preserve">I… will take prediction to be indexed to the predictor’s epistemological state rather than temporal location. Thus, a claim that we should ﬁnd a piece of evidence in a particular context is a prediction, even if that context occurred in the past and the evidence is merely preserved and awaiting discovery. Indeed, if someone claims that some event should have taken place, but they do not know that it did, and someone else already does, that should still count as a prediction. </w:t>
      </w:r>
      <w:r w:rsidRPr="00EC5CA6">
        <w:fldChar w:fldCharType="begin"/>
      </w:r>
      <w:r>
        <w:instrText xml:space="preserve"> ADDIN ZOTERO_ITEM CSL_CITATION {"citationID":"wcvlyFB9","properties":{"formattedCitation":"(Douglas 2009, 446)","plainCitation":"(Douglas 2009, 446)"},"citationItems":[{"id":550,"uris":["http://zotero.org/users/270153/items/TME7K9KM"],"uri":["http://zotero.org/users/270153/items/TME7K9KM"],"itemData":{"id":550,"type":"article-journal","title":"Reintroducing Prediction to Explanation","container-title":"Philosophy of Science","page":"444-463","volume":"76","author":[{"family":"Douglas","given":"Heather"}],"issued":{"date-parts":[["2009"]]}},"locator":"446"}],"schema":"https://github.com/citation-style-language/schema/raw/master/csl-citation.json"} </w:instrText>
      </w:r>
      <w:r w:rsidRPr="00EC5CA6">
        <w:fldChar w:fldCharType="separate"/>
      </w:r>
      <w:r w:rsidRPr="00EC5CA6">
        <w:t>(Douglas 2009, 446)</w:t>
      </w:r>
      <w:r w:rsidRPr="00EC5CA6">
        <w:fldChar w:fldCharType="end"/>
      </w:r>
    </w:p>
    <w:p w14:paraId="2DDCB2F1" w14:textId="650A6B95" w:rsidR="000E48D6" w:rsidRDefault="00B925CB" w:rsidP="00B925CB">
      <w:r w:rsidRPr="00EC5CA6">
        <w:t xml:space="preserve">She points out that Peter Lipton takes a similar stance </w:t>
      </w:r>
      <w:r w:rsidRPr="00EC5CA6">
        <w:fldChar w:fldCharType="begin"/>
      </w:r>
      <w:r>
        <w:instrText xml:space="preserve"> ADDIN ZOTERO_ITEM CSL_CITATION {"citationID":"KTWwkmuV","properties":{"formattedCitation":"(Lipton 2004, 173)","plainCitation":"(Lipton 2004, 173)"},"citationItems":[{"id":352,"uris":["http://zotero.org/users/270153/items/RX33XZQR"],"uri":["http://zotero.org/users/270153/items/RX33XZQR"],"itemData":{"id":352,"type":"book","title":"Inference to the Best Explanation","publisher":"Routledge","publisher-place":"London and New York","edition":"Second edition","event-place":"London and New York","author":[{"family":"Lipton","given":"Peter"}],"issued":{"date-parts":[["2004"]]}},"locator":"173"}],"schema":"https://github.com/citation-style-language/schema/raw/master/csl-citation.json"} </w:instrText>
      </w:r>
      <w:r w:rsidRPr="00EC5CA6">
        <w:fldChar w:fldCharType="separate"/>
      </w:r>
      <w:r w:rsidRPr="00EC5CA6">
        <w:t>(Lipton 2004, 173)</w:t>
      </w:r>
      <w:r w:rsidRPr="00EC5CA6">
        <w:fldChar w:fldCharType="end"/>
      </w:r>
      <w:r w:rsidR="00EE6D8A">
        <w:t xml:space="preserve">. Given the role prediction plays in debates about scientific realism, </w:t>
      </w:r>
      <w:r w:rsidR="000E48D6">
        <w:t xml:space="preserve">it is probably reasonable to surmise – though tricky to make a tight case – that this </w:t>
      </w:r>
      <w:r w:rsidR="00EE6D8A">
        <w:t xml:space="preserve">epistemic </w:t>
      </w:r>
      <w:r w:rsidR="000E48D6">
        <w:t>way of thinking about prediction is more common</w:t>
      </w:r>
      <w:r w:rsidR="00EE6D8A">
        <w:t xml:space="preserve"> than the temporal,</w:t>
      </w:r>
      <w:r w:rsidR="000E48D6">
        <w:t xml:space="preserve"> </w:t>
      </w:r>
      <w:r w:rsidR="00EE6D8A">
        <w:t>among philosophers of science.</w:t>
      </w:r>
    </w:p>
    <w:p w14:paraId="04B33BF3" w14:textId="45B359F7" w:rsidR="00E56FAB" w:rsidRPr="00E56FAB" w:rsidRDefault="00B925CB" w:rsidP="00B925CB">
      <w:r>
        <w:t>I am sceptical that the epistemic notion of prediction can be satisfactorily defined, or that it represents a stable or epistemologically significant category. I am suspicious of the implied distinction between directly accessing a fact and merely predicting it. I am also suspicious of this sort of philosophical reconstruction of</w:t>
      </w:r>
      <w:r w:rsidR="00BB17EC">
        <w:t xml:space="preserve"> everyday language and thought. P</w:t>
      </w:r>
      <w:r>
        <w:t xml:space="preserve">redictions </w:t>
      </w:r>
      <w:r w:rsidR="00BB17EC" w:rsidRPr="00BB17EC">
        <w:rPr>
          <w:i/>
        </w:rPr>
        <w:t xml:space="preserve">seem </w:t>
      </w:r>
      <w:r>
        <w:t xml:space="preserve">paradigmatically </w:t>
      </w:r>
      <w:r w:rsidR="00BB17EC">
        <w:t>to concern the future. The philosophical reconstruction asks us to lightly set this seeming aside. I need more argument than this before I will be persuaded</w:t>
      </w:r>
      <w:r w:rsidR="00A75334">
        <w:t xml:space="preserve"> to</w:t>
      </w:r>
      <w:r w:rsidR="00BB17EC">
        <w:t xml:space="preserve"> abandon the idea that prediction has something important to do with the future, and thus to abandon any serious philosophical investigation of </w:t>
      </w:r>
      <w:r w:rsidR="00BB17EC">
        <w:lastRenderedPageBreak/>
        <w:t>that idea.</w:t>
      </w:r>
      <w:r>
        <w:t xml:space="preserve"> </w:t>
      </w:r>
      <w:r w:rsidR="00E56FAB">
        <w:t xml:space="preserve">Note, finally, that the epistemic notion of prediction makes it hard to count predictions as knowledge, since prediction is classified as an epistemic state short of knowledge. Whereas on the temporal notion, it seems natural to say that predictions may sometimes be known. They are just propositions about the future, and qualify as knowledge provided they are warranted in whatever way known propositions must be warranted. The epistemic stance’s bar on saying predictions can ever count as knowledge seems to me a strong reason for allowing temporal predictions alongside epistemic, since it seems that sometimes </w:t>
      </w:r>
      <w:r w:rsidR="00F733F3">
        <w:t xml:space="preserve">temporally </w:t>
      </w:r>
      <w:r w:rsidR="00E56FAB">
        <w:t>pre</w:t>
      </w:r>
      <w:r w:rsidR="00F733F3">
        <w:t xml:space="preserve">dictive claims can be </w:t>
      </w:r>
      <w:r w:rsidR="00E56FAB">
        <w:t>warranted</w:t>
      </w:r>
      <w:r w:rsidR="00F733F3">
        <w:t xml:space="preserve"> well enough to be known (</w:t>
      </w:r>
      <w:r w:rsidR="00E56FAB">
        <w:t>e.g. concerning the date and duration of the next solar eclip</w:t>
      </w:r>
      <w:r w:rsidR="00F733F3">
        <w:t>se), while temporally non-predictive claims can (obviously) be insecure (e.g. concerning the outcome of a football match that has already happened but whose score you have not yet heard).</w:t>
      </w:r>
    </w:p>
    <w:p w14:paraId="6F63F5DF" w14:textId="3A19E77D" w:rsidR="00B925CB" w:rsidRDefault="00BB17EC" w:rsidP="00B925CB">
      <w:r>
        <w:t>However,</w:t>
      </w:r>
      <w:r w:rsidR="00B925CB">
        <w:t xml:space="preserve"> I do not need to pursue these doubts</w:t>
      </w:r>
      <w:r w:rsidR="00384EDE">
        <w:t>, nor to engage in unpromising verbal disputes about whether someone who makes an inference “t</w:t>
      </w:r>
      <w:r w:rsidR="00384EDE" w:rsidRPr="00EC5CA6">
        <w:t>hat some event should have taken place, b</w:t>
      </w:r>
      <w:r w:rsidR="00384EDE">
        <w:t xml:space="preserve">ut they do not know that it did” </w:t>
      </w:r>
      <w:r w:rsidR="00384EDE" w:rsidRPr="00EC5CA6">
        <w:fldChar w:fldCharType="begin"/>
      </w:r>
      <w:r w:rsidR="00384EDE">
        <w:instrText xml:space="preserve"> ADDIN ZOTERO_ITEM CSL_CITATION {"citationID":"xGbKYpBn","properties":{"formattedCitation":"(Douglas 2009, 446)","plainCitation":"(Douglas 2009, 446)"},"citationItems":[{"id":550,"uris":["http://zotero.org/users/270153/items/TME7K9KM"],"uri":["http://zotero.org/users/270153/items/TME7K9KM"],"itemData":{"id":550,"type":"article-journal","title":"Reintroducing Prediction to Explanation","container-title":"Philosophy of Science","page":"444-463","volume":"76","author":[{"family":"Douglas","given":"Heather"}],"issued":{"date-parts":[["2009"]]}},"locator":"446"}],"schema":"https://github.com/citation-style-language/schema/raw/master/csl-citation.json"} </w:instrText>
      </w:r>
      <w:r w:rsidR="00384EDE" w:rsidRPr="00EC5CA6">
        <w:fldChar w:fldCharType="separate"/>
      </w:r>
      <w:r w:rsidR="00384EDE" w:rsidRPr="00EC5CA6">
        <w:t>(Douglas 2009, 446)</w:t>
      </w:r>
      <w:r w:rsidR="00384EDE" w:rsidRPr="00EC5CA6">
        <w:fldChar w:fldCharType="end"/>
      </w:r>
      <w:r w:rsidR="00384EDE">
        <w:t xml:space="preserve"> is really predicting, or making an inference that does not deserve that name</w:t>
      </w:r>
      <w:r>
        <w:t xml:space="preserve">. I need only disagree with Douglas and Lipton to the extent that they claim priority or exclusivity for the epistemic notion, and since no argument is offered for such a priority claim, we can safely disregard it. There may be two notions of prediction, epistemic and temporal. </w:t>
      </w:r>
      <w:r w:rsidRPr="00BB17EC">
        <w:rPr>
          <w:i/>
        </w:rPr>
        <w:t>M</w:t>
      </w:r>
      <w:r w:rsidR="00B925CB" w:rsidRPr="00BB17EC">
        <w:rPr>
          <w:i/>
        </w:rPr>
        <w:t>y</w:t>
      </w:r>
      <w:r w:rsidR="00B925CB">
        <w:t xml:space="preserve"> interest is in the temporal notion of prediction, which I take it is clear enough to survive </w:t>
      </w:r>
      <w:r w:rsidR="00424D92">
        <w:t>eit</w:t>
      </w:r>
      <w:r>
        <w:t>h</w:t>
      </w:r>
      <w:r w:rsidR="00424D92">
        <w:t>e</w:t>
      </w:r>
      <w:r>
        <w:t xml:space="preserve">r alongside the epistemic notion, or after </w:t>
      </w:r>
      <w:r w:rsidR="00B925CB">
        <w:t xml:space="preserve">a rejection of the </w:t>
      </w:r>
      <w:r w:rsidR="00384EDE">
        <w:t xml:space="preserve">epistemic/temporal </w:t>
      </w:r>
      <w:r w:rsidR="00B925CB">
        <w:t>distinction.</w:t>
      </w:r>
    </w:p>
    <w:p w14:paraId="68DC5FEC" w14:textId="77777777" w:rsidR="00B925CB" w:rsidRDefault="00384EDE" w:rsidP="00B925CB">
      <w:r>
        <w:t xml:space="preserve">Third, prediction is similar to explanation in that it suffers from a product/process ambiguity </w:t>
      </w:r>
      <w:r w:rsidRPr="00EC5CA6">
        <w:fldChar w:fldCharType="begin"/>
      </w:r>
      <w:r>
        <w:instrText xml:space="preserve"> ADDIN ZOTERO_ITEM CSL_CITATION {"citationID":"ikHfhh28","properties":{"formattedCitation":"(Ruben 1993, 16)","plainCitation":"(Ruben 1993, 16)"},"citationItems":[{"id":306,"uris":["http://zotero.org/users/270153/items/C3F9R996"],"uri":["http://zotero.org/users/270153/items/C3F9R996"],"itemData":{"id":306,"type":"chapter","title":"Introduction","container-title":"Explanation","collection-title":"Oxford Readings in Philosophy","publisher":"Oxford University Press","publisher-place":"Oxford","page":"1-16","event-place":"Oxford","editor":[{"family":"Ruben","given":"David-Hillel"}],"author":[{"family":"Ruben","given":"David-Hillel"}],"issued":{"date-parts":[["1993"]]}},"locator":"16"}],"schema":"https://github.com/citation-style-language/schema/raw/master/csl-citation.json"} </w:instrText>
      </w:r>
      <w:r w:rsidRPr="00EC5CA6">
        <w:fldChar w:fldCharType="separate"/>
      </w:r>
      <w:r w:rsidRPr="00EC5CA6">
        <w:t>(Ruben 1993, 16)</w:t>
      </w:r>
      <w:r w:rsidRPr="00EC5CA6">
        <w:fldChar w:fldCharType="end"/>
      </w:r>
      <w:r>
        <w:t xml:space="preserve">. “Prediction” is ambiguous between a </w:t>
      </w:r>
      <w:r>
        <w:rPr>
          <w:i/>
        </w:rPr>
        <w:t>claim</w:t>
      </w:r>
      <w:r>
        <w:t>,</w:t>
      </w:r>
      <w:r>
        <w:rPr>
          <w:i/>
        </w:rPr>
        <w:t xml:space="preserve"> </w:t>
      </w:r>
      <w:r>
        <w:t xml:space="preserve">that is, a </w:t>
      </w:r>
      <w:r>
        <w:lastRenderedPageBreak/>
        <w:t xml:space="preserve">propositional entity like “It will rain tomorrow”, and an </w:t>
      </w:r>
      <w:r>
        <w:rPr>
          <w:i/>
        </w:rPr>
        <w:t>activity</w:t>
      </w:r>
      <w:r>
        <w:t xml:space="preserve">, such as consulting one’s barometer in an effort to discover whether it will rain tomorrow </w:t>
      </w:r>
      <w:r>
        <w:fldChar w:fldCharType="begin"/>
      </w:r>
      <w:r>
        <w:instrText xml:space="preserve"> ADDIN ZOTERO_ITEM CSL_CITATION {"citationID":"nuy3GH0y","properties":{"formattedCitation":"(Broadbent 2013, 86)","plainCitation":"(Broadbent 2013, 86)"},"citationItems":[{"id":543,"uris":["http://zotero.org/users/270153/items/PR28JS4C"],"uri":["http://zotero.org/users/270153/items/PR28JS4C"],"itemData":{"id":543,"type":"book","title":"Philosophy of Epidemiology","collection-title":"New Directions in the Philosophy of Science","publisher":"Palgrave Macmillan","publisher-place":"London and New York","event-place":"London and New York","author":[{"family":"Broadbent","given":"Alex"}],"issued":{"date-parts":[["2013"]]}},"locator":"86"}],"schema":"https://github.com/citation-style-language/schema/raw/master/csl-citation.json"} </w:instrText>
      </w:r>
      <w:r>
        <w:fldChar w:fldCharType="separate"/>
      </w:r>
      <w:r w:rsidRPr="00384EDE">
        <w:rPr>
          <w:rFonts w:ascii="Cambria" w:hAnsi="Cambria"/>
        </w:rPr>
        <w:t>(Broadbent 2013, 86)</w:t>
      </w:r>
      <w:r>
        <w:fldChar w:fldCharType="end"/>
      </w:r>
      <w:r>
        <w:t>.</w:t>
      </w:r>
    </w:p>
    <w:p w14:paraId="6958E0EF" w14:textId="05A84316" w:rsidR="00384EDE" w:rsidRDefault="00A81622" w:rsidP="00B925CB">
      <w:r>
        <w:t>Fourth, we can distinguish two ways of thinking about predictive goodness, corresponding loosely to the claim/activity distinction. One might think of good predictions as</w:t>
      </w:r>
      <w:r w:rsidR="003363C8">
        <w:t xml:space="preserve"> </w:t>
      </w:r>
      <w:r w:rsidR="003363C8">
        <w:rPr>
          <w:i/>
        </w:rPr>
        <w:t>settled by fact</w:t>
      </w:r>
      <w:r w:rsidR="003363C8">
        <w:t>, by which I mean that</w:t>
      </w:r>
      <w:r>
        <w:t xml:space="preserve"> all and only true predictions</w:t>
      </w:r>
      <w:r w:rsidR="003363C8">
        <w:t xml:space="preserve"> are good predictions</w:t>
      </w:r>
      <w:r>
        <w:t>. This is a natural way – though not, I will suggest, a helpful way – to think about prediction claims. It has no applicability to prediction activities, however, which are not propositional and do not take truth values.</w:t>
      </w:r>
      <w:r w:rsidR="003363C8">
        <w:t xml:space="preserve"> Thus there must be another way of thinking about predictive goodness, as not settled by fact.</w:t>
      </w:r>
    </w:p>
    <w:p w14:paraId="341DAE57" w14:textId="10BB5D7F" w:rsidR="00EE6D8A" w:rsidRDefault="00EE6D8A" w:rsidP="00B925CB">
      <w:r>
        <w:t xml:space="preserve">Together, these four distinctions allow us to structure our approach to the central question. We can say that a good prediction </w:t>
      </w:r>
      <w:r>
        <w:rPr>
          <w:i/>
        </w:rPr>
        <w:t>claim</w:t>
      </w:r>
      <w:r>
        <w:t xml:space="preserve"> is one that is (a) true and (b) based on a good prediction activity. To endorse the </w:t>
      </w:r>
      <w:proofErr w:type="spellStart"/>
      <w:r>
        <w:t>factive</w:t>
      </w:r>
      <w:proofErr w:type="spellEnd"/>
      <w:r>
        <w:t xml:space="preserve"> notion of prediction claims is akin to saying that knowledge is true belief; lucky guesses are ruled in, and reasonable errors are ruled out.</w:t>
      </w:r>
      <w:r>
        <w:rPr>
          <w:rStyle w:val="FootnoteReference"/>
        </w:rPr>
        <w:footnoteReference w:id="2"/>
      </w:r>
      <w:r>
        <w:t xml:space="preserve"> We can then ask what the appropriate “basing” relation is, and – more importantly – what makes a good prediction activity.</w:t>
      </w:r>
      <w:r w:rsidR="00AE12B6">
        <w:t xml:space="preserve"> We can confine our attention to temporal predictions that are made in the context of forecasting. Having arrived at a satisfactory treatment, we may want to extend it to deal with, or explain, the epistemic notion of prediction, and predictions in the context of testing.</w:t>
      </w:r>
    </w:p>
    <w:p w14:paraId="7EFE8FC6" w14:textId="1923B8D6" w:rsidR="00AE12B6" w:rsidRPr="00AE12B6" w:rsidRDefault="00AE12B6" w:rsidP="00B925CB">
      <w:r>
        <w:t xml:space="preserve">The first order of business, then, is to understand better what makes a prediction </w:t>
      </w:r>
      <w:r>
        <w:rPr>
          <w:i/>
        </w:rPr>
        <w:t>activity</w:t>
      </w:r>
      <w:r>
        <w:t xml:space="preserve"> good. The basing relation, the goodness of prediction claims, and the possibility of extending the treatment to epistemic predictions and testing predictions will all </w:t>
      </w:r>
      <w:r>
        <w:lastRenderedPageBreak/>
        <w:t xml:space="preserve">depend on the nature of good prediction activity. </w:t>
      </w:r>
      <w:r w:rsidR="008E31DA">
        <w:t>The nature of good prediction activity will therefore be my focus in the remainder of this piece</w:t>
      </w:r>
      <w:r>
        <w:t>.</w:t>
      </w:r>
    </w:p>
    <w:p w14:paraId="026705E9" w14:textId="77777777" w:rsidR="00156311" w:rsidRPr="00EC5CA6" w:rsidRDefault="00A11175" w:rsidP="00DA3D41">
      <w:pPr>
        <w:pStyle w:val="Heading1"/>
      </w:pPr>
      <w:bookmarkStart w:id="1" w:name="_Ref349132450"/>
      <w:r w:rsidRPr="00EC5CA6">
        <w:t>Approaches to Prediction</w:t>
      </w:r>
      <w:bookmarkEnd w:id="1"/>
    </w:p>
    <w:p w14:paraId="455A6215" w14:textId="1EB726C9" w:rsidR="0093468D" w:rsidRDefault="00947387" w:rsidP="00DA3D41">
      <w:r>
        <w:t xml:space="preserve">In this section I </w:t>
      </w:r>
      <w:r w:rsidR="003F3155">
        <w:t>review</w:t>
      </w:r>
      <w:r>
        <w:t xml:space="preserve"> the most obvious </w:t>
      </w:r>
      <w:r w:rsidR="001F7A78">
        <w:t>conceptual tools that might be used to generate a philosophical theory of prediction, and find them all wanting.</w:t>
      </w:r>
    </w:p>
    <w:p w14:paraId="3771A070" w14:textId="77777777" w:rsidR="00C57CA0" w:rsidRDefault="00C57CA0" w:rsidP="00DA3D41">
      <w:pPr>
        <w:pStyle w:val="Heading2"/>
      </w:pPr>
      <w:r>
        <w:t>Extrapolation</w:t>
      </w:r>
    </w:p>
    <w:p w14:paraId="1D24CD3E" w14:textId="77777777" w:rsidR="00BE3868" w:rsidRPr="006C6F1D" w:rsidRDefault="00BE3868" w:rsidP="00DA3D41">
      <w:r>
        <w:t>I take it as axiomatic that predicting future events in the empirical world necessarily relies on inductive inference.</w:t>
      </w:r>
      <w:r>
        <w:rPr>
          <w:rStyle w:val="FootnoteReference"/>
        </w:rPr>
        <w:footnoteReference w:id="3"/>
      </w:r>
      <w:r>
        <w:t xml:space="preserve"> Either the prediction activity itself will be inductive, or if it is deductive then its premises are inductively supported.</w:t>
      </w:r>
      <w:r w:rsidR="00FA0B46">
        <w:t xml:space="preserve"> The simplest way for induction to feature is for predictions to amount to simple enumerative inductions from similar past cases: in a word, </w:t>
      </w:r>
      <w:r w:rsidR="006C6F1D">
        <w:rPr>
          <w:i/>
        </w:rPr>
        <w:t>extrapolation</w:t>
      </w:r>
      <w:r w:rsidR="006C6F1D">
        <w:t xml:space="preserve"> </w:t>
      </w:r>
      <w:r w:rsidR="006C6F1D">
        <w:fldChar w:fldCharType="begin"/>
      </w:r>
      <w:r w:rsidR="002937C8">
        <w:instrText xml:space="preserve"> ADDIN ZOTERO_ITEM CSL_CITATION {"citationID":"dsGwvFPh","properties":{"formattedCitation":"(see e.g. Szklo and Nieto 2007, 376)","plainCitation":"(see e.g. Szklo and Nieto 2007, 376)"},"citationItems":[{"id":58,"uris":["http://zotero.org/users/270153/items/5SVTHG4P"],"uri":["http://zotero.org/users/270153/items/5SVTHG4P"],"itemData":{"id":58,"type":"book","title":"Epidemiology: Beyond the Basics","publisher":"Jones and Bartlett Publishers","publisher-place":"Boston, Toronto, London, Singapore","edition":"2nd","event-place":"Boston, Toronto, London, Singapore","author":[{"family":"Szklo","given":"Moyses"},{"family":"Nieto","given":"F. Javier"}],"issued":{"date-parts":[["2007"]]}},"locator":"376","prefix":"see e.g. "}],"schema":"https://github.com/citation-style-language/schema/raw/master/csl-citation.json"} </w:instrText>
      </w:r>
      <w:r w:rsidR="006C6F1D">
        <w:fldChar w:fldCharType="separate"/>
      </w:r>
      <w:r w:rsidR="006C6F1D" w:rsidRPr="006C6F1D">
        <w:rPr>
          <w:rFonts w:ascii="Cambria" w:hAnsi="Cambria"/>
        </w:rPr>
        <w:t>(see e.g. Szklo and Nieto 2007, 376)</w:t>
      </w:r>
      <w:r w:rsidR="006C6F1D">
        <w:fldChar w:fldCharType="end"/>
      </w:r>
      <w:r w:rsidR="006C6F1D">
        <w:t>.</w:t>
      </w:r>
    </w:p>
    <w:p w14:paraId="27E29439" w14:textId="77777777" w:rsidR="00FA0B46" w:rsidRDefault="00FA0B46" w:rsidP="00DA3D41">
      <w:r>
        <w:t>The difficulty with extrapolation as a model of good prediction is that extrapolations are often poor predictions. Share prices, for example, go down as well as up. Just because a price went up yesterday does not mean it will go up today.</w:t>
      </w:r>
    </w:p>
    <w:p w14:paraId="3A5D1A3C" w14:textId="77777777" w:rsidR="00D17298" w:rsidRDefault="00FA0B46" w:rsidP="00DA3D41">
      <w:r>
        <w:t xml:space="preserve">The natural retort is that a good extrapolation will consider </w:t>
      </w:r>
      <w:r w:rsidR="00D17298">
        <w:t>the whole pattern to be extrapolated, not just a segment of it. Yesterday’s trend on a particular share price, to pursue that example</w:t>
      </w:r>
      <w:r>
        <w:t>,</w:t>
      </w:r>
      <w:r w:rsidR="00D17298">
        <w:t xml:space="preserve"> is a poor basis for extrapolation because that is not the complete body of data from which to extrapolate. There are price cycles lasting longer than a day.</w:t>
      </w:r>
    </w:p>
    <w:p w14:paraId="20C44D3C" w14:textId="77777777" w:rsidR="00B56469" w:rsidRDefault="00D17298" w:rsidP="00DA3D41">
      <w:r>
        <w:lastRenderedPageBreak/>
        <w:t xml:space="preserve">At this point we must distinguish between two ways one might take the question “How good is this prediction?” The first way of taking the question we might call the </w:t>
      </w:r>
      <w:r w:rsidRPr="00D17298">
        <w:rPr>
          <w:i/>
        </w:rPr>
        <w:t>internal</w:t>
      </w:r>
      <w:r>
        <w:t xml:space="preserve"> sense. Supposing for sake of illustration that we confine ourselves to linear relationships in bivariate data, the internal question is answered well by the linear correlation coefficient </w:t>
      </w:r>
      <w:r w:rsidRPr="00D17298">
        <w:rPr>
          <w:i/>
        </w:rPr>
        <w:t>r</w:t>
      </w:r>
      <w:r>
        <w:t xml:space="preserve">, which tells us how strong a given linear relationship. The closer </w:t>
      </w:r>
      <w:r>
        <w:rPr>
          <w:i/>
        </w:rPr>
        <w:t>r</w:t>
      </w:r>
      <w:r>
        <w:t xml:space="preserve"> is to 1 or -1, the stronger the positive or negative </w:t>
      </w:r>
      <w:r w:rsidR="00DA3D41">
        <w:t>correlation</w:t>
      </w:r>
      <w:r>
        <w:t xml:space="preserve">, and thus the better any given prediction </w:t>
      </w:r>
      <w:r w:rsidR="00DA3D41">
        <w:t>of an unobserved value of one variable based on the value of the other is likely to be.</w:t>
      </w:r>
    </w:p>
    <w:p w14:paraId="25D3BDAE" w14:textId="77777777" w:rsidR="00B56469" w:rsidRDefault="00B56469" w:rsidP="00DA3D41">
      <w:r>
        <w:t xml:space="preserve">The latter claim is no logical truth. It </w:t>
      </w:r>
      <w:r w:rsidR="00DA3D41">
        <w:t xml:space="preserve">relies on the assumption that the linear relationship in the observed data holds also for the unobserved data: that the pattern in the observed data represents the pattern in </w:t>
      </w:r>
      <w:r>
        <w:t xml:space="preserve">all the data, observed and unobserved. The second, </w:t>
      </w:r>
      <w:r w:rsidRPr="00B56469">
        <w:rPr>
          <w:i/>
        </w:rPr>
        <w:t>external</w:t>
      </w:r>
      <w:r>
        <w:t xml:space="preserve"> sense of the question asks whether this is true.</w:t>
      </w:r>
    </w:p>
    <w:p w14:paraId="47208F9B" w14:textId="77777777" w:rsidR="00DA3D41" w:rsidRDefault="00B56469" w:rsidP="00DA3D41">
      <w:r>
        <w:t>Generalising, we can ask either the internal or the external question of a given method. We can ask how good a given prediction using that method is likely to be, given the assumptions necessary for the method to work (the internal question); or we can ask whether the circumstances are propitious for the method to work (the external question).</w:t>
      </w:r>
    </w:p>
    <w:p w14:paraId="47320D84" w14:textId="77777777" w:rsidR="00B56469" w:rsidRDefault="00B56469" w:rsidP="00DA3D41">
      <w:r>
        <w:t>In the case of extrapolation,</w:t>
      </w:r>
      <w:r w:rsidR="00FA0B46">
        <w:t xml:space="preserve"> </w:t>
      </w:r>
      <w:r w:rsidR="006C6F1D">
        <w:t xml:space="preserve">“Expect more of the same” really means “expect more of the same </w:t>
      </w:r>
      <w:r w:rsidR="006C6F1D">
        <w:rPr>
          <w:i/>
        </w:rPr>
        <w:t>in the same circumstances</w:t>
      </w:r>
      <w:r w:rsidR="006C6F1D">
        <w:t>”. Bertrand Russell ably demonstrated the point by imagining a chicken who wrongly extrapolated from past experience that the approaching farmer would feed it, only to have its neck wrung</w:t>
      </w:r>
      <w:r w:rsidR="000D2DE6">
        <w:t xml:space="preserve"> </w:t>
      </w:r>
      <w:r w:rsidR="006913EA">
        <w:fldChar w:fldCharType="begin"/>
      </w:r>
      <w:r w:rsidR="002937C8">
        <w:instrText xml:space="preserve"> ADDIN ZOTERO_ITEM CSL_CITATION {"citationID":"RIXFSBB9","properties":{"formattedCitation":"(Russell 1912 Ch 6)","plainCitation":"(Russell 1912 Ch 6)"},"citationItems":[{"id":317,"uris":["http://zotero.org/users/270153/items/T5ZTX9XD"],"uri":["http://zotero.org/users/270153/items/T5ZTX9XD"],"itemData":{"id":317,"type":"book","title":"The Problems of Philosophy","collection-title":"Great Books in Philosophy","publisher":"Prometheus Books","publisher-place":"Buffalo, New York","edition":"1988","event-place":"Buffalo, New York","author":[{"family":"Russell","given":"Bertrand"}],"issued":{"date-parts":[["1912"]]}},"suffix":"Ch 6"}],"schema":"https://github.com/citation-style-language/schema/raw/master/csl-citation.json"} </w:instrText>
      </w:r>
      <w:r w:rsidR="006913EA">
        <w:fldChar w:fldCharType="separate"/>
      </w:r>
      <w:r w:rsidR="006913EA" w:rsidRPr="006913EA">
        <w:rPr>
          <w:rFonts w:ascii="Cambria" w:hAnsi="Cambria"/>
        </w:rPr>
        <w:t>(Russell 1912 Ch 6)</w:t>
      </w:r>
      <w:r w:rsidR="006913EA">
        <w:fldChar w:fldCharType="end"/>
      </w:r>
      <w:r w:rsidR="006C6F1D">
        <w:t xml:space="preserve">. In some circumstances, the </w:t>
      </w:r>
      <w:r w:rsidR="006C6F1D">
        <w:rPr>
          <w:i/>
        </w:rPr>
        <w:t>exact opposite</w:t>
      </w:r>
      <w:r w:rsidR="006C6F1D">
        <w:t xml:space="preserve"> of</w:t>
      </w:r>
      <w:r>
        <w:t xml:space="preserve"> an extrapolation is warranted.</w:t>
      </w:r>
    </w:p>
    <w:p w14:paraId="1465B095" w14:textId="3DAD4269" w:rsidR="00F77429" w:rsidRPr="004C6659" w:rsidRDefault="006913EA" w:rsidP="00DA3D41">
      <w:r>
        <w:lastRenderedPageBreak/>
        <w:t xml:space="preserve">What this shows is that the notion of extrapolation </w:t>
      </w:r>
      <w:r w:rsidR="00B56469">
        <w:t>is on its own not sufficient to ground good prediction</w:t>
      </w:r>
      <w:r>
        <w:t>. One is right to extrapolate when circumstances are right for one to extrapolate, as well as what to do when they are not. A good prediction activity tells us what these circumstances are, and extrapolation does not.</w:t>
      </w:r>
      <w:r w:rsidR="00B56469">
        <w:t xml:space="preserve"> A good prediction activity may employ extrapolation, but it will answer the external question as to whether circumstances are right to do so.</w:t>
      </w:r>
    </w:p>
    <w:p w14:paraId="1C33F117" w14:textId="77777777" w:rsidR="00C57CA0" w:rsidRDefault="006913EA" w:rsidP="00DA3D41">
      <w:pPr>
        <w:pStyle w:val="Heading2"/>
      </w:pPr>
      <w:r>
        <w:t>Prediction from Laws of Nature</w:t>
      </w:r>
    </w:p>
    <w:p w14:paraId="22266816" w14:textId="7B56C8AF" w:rsidR="001B23BA" w:rsidRDefault="00F733F3" w:rsidP="00DA3D41">
      <w:r>
        <w:t xml:space="preserve">Perhaps </w:t>
      </w:r>
      <w:r w:rsidR="006913EA">
        <w:t>a good prediction claim is one derived from a law of nature</w:t>
      </w:r>
      <w:r>
        <w:t>, with the “deriving” being the good prediction activity</w:t>
      </w:r>
      <w:r w:rsidR="006913EA">
        <w:t>.</w:t>
      </w:r>
      <w:r>
        <w:t xml:space="preserve"> </w:t>
      </w:r>
      <w:r w:rsidR="006913EA">
        <w:t>This would yield a close symmetry with the deductive-</w:t>
      </w:r>
      <w:proofErr w:type="spellStart"/>
      <w:r w:rsidR="006913EA">
        <w:t>nomological</w:t>
      </w:r>
      <w:proofErr w:type="spellEnd"/>
      <w:r w:rsidR="006913EA">
        <w:t xml:space="preserve"> </w:t>
      </w:r>
      <w:r w:rsidR="001B23BA">
        <w:t xml:space="preserve">(DN) </w:t>
      </w:r>
      <w:r w:rsidR="00CC0FE1">
        <w:t>theory</w:t>
      </w:r>
      <w:r w:rsidR="006913EA">
        <w:t xml:space="preserve"> of explanation, and this symmetry has received considerable discussion </w:t>
      </w:r>
      <w:r w:rsidR="006913EA">
        <w:fldChar w:fldCharType="begin"/>
      </w:r>
      <w:r w:rsidR="002937C8">
        <w:instrText xml:space="preserve"> ADDIN ZOTERO_ITEM CSL_CITATION {"citationID":"yPxNAWui","properties":{"formattedCitation":"(e.g. C. Hempel and Oppenheim 1948; Scheffler 1957; Rescher 1958; Canfield and Lehrer 1961; Rescher 1963; Kim 1964; Suchting 1967; Hanna 1969; Douglas 2009)","plainCitation":"(e.g. C. Hempel and Oppenheim 1948; Scheffler 1957; Rescher 1958; Canfield and Lehrer 1961; Rescher 1963; Kim 1964; Suchting 1967; Hanna 1969; Douglas 2009)"},"citationItems":[{"id":481,"uris":["http://zotero.org/users/270153/items/R8RCEUSH"],"uri":["http://zotero.org/users/270153/items/R8RCEUSH"],"itemData":{"id":481,"type":"article-journal","title":"Studies in the Logic of Explanation","container-title":"Philosophy of Science","page":"135-175","volume":"15","issue":"2","author":[{"family":"Hempel","given":"Carl"},{"family":"Oppenheim","given":"Paul"}],"issued":{"date-parts":[["1948"]]}},"prefix":"e.g."},{"id":533,"uris":["http://zotero.org/users/270153/items/7GTE2CFU"],"uri":["http://zotero.org/users/270153/items/7GTE2CFU"],"itemData":{"id":533,"type":"article-journal","title":"Explanation, Prediction, and Abstraction","container-title":"The British Journal for the Philosophy of Science","page":"293-309","volume":"7","issue":"28","author":[{"family":"Scheffler","given":"Israel"}],"issued":{"date-parts":[["1957"]]}}},{"id":549,"uris":["http://zotero.org/users/270153/items/T2S8DR6I"],"uri":["http://zotero.org/users/270153/items/T2S8DR6I"],"itemData":{"id":549,"type":"article-journal","title":"On Prediction and Explanation","page":"281-290","volume":"8","issue":"32","author":[{"family":"Rescher","given":"Nicholas"}],"issued":{"date-parts":[["1958"]]}}},{"id":559,"uris":["http://zotero.org/users/270153/items/ZS3CIVSE"],"uri":["http://zotero.org/users/270153/items/ZS3CIVSE"],"itemData":{"id":559,"type":"article-journal","title":"A Note on Prediction and Deduction","container-title":"Philosophy of Science","page":"204-208","volume":"28","issue":"2","author":[{"family":"Canfield","given":"John"},{"family":"Lehrer","given":"Keith"}],"issued":{"date-parts":[["1961"]]}}},{"id":530,"uris":["http://zotero.org/users/270153/items/75DJN9US"],"uri":["http://zotero.org/users/270153/items/75DJN9US"],"itemData":{"id":530,"type":"article-journal","title":"Discrete State Systems, Markov Chains, and Problems in the Theory of Scientific Explanation and Prediction","container-title":"Philosophy of Science","page":"325-345","volume":"30","issue":"4","author":[{"family":"Rescher","given":"Nicholas"}],"issued":{"date-parts":[["1963"]]}}},{"id":541,"uris":["http://zotero.org/users/270153/items/NPIBNGMS"],"uri":["http://zotero.org/users/270153/items/NPIBNGMS"],"itemData":{"id":541,"type":"article-journal","title":"Inference, Explanation, and Prediction","container-title":"The Journal of Philosophy","page":"360-368","volume":"61","issue":"12","author":[{"family":"Kim","given":"Jaegwon"}],"issued":{"date-parts":[["1964"]]}}},{"id":544,"uris":["http://zotero.org/users/270153/items/PV66KMX3"],"uri":["http://zotero.org/users/270153/items/PV66KMX3"],"itemData":{"id":544,"type":"article-journal","title":"Deductive Explanation and Prediction Revisited","container-title":"Philosophy of Science","page":"41-52","volume":"34","issue":"1","author":[{"family":"Suchting","given":"WA"}],"issued":{"date-parts":[["1967"]]}}},{"id":528,"uris":["http://zotero.org/users/270153/items/66NZJDAD"],"uri":["http://zotero.org/users/270153/items/66NZJDAD"],"itemData":{"id":528,"type":"article-journal","title":"Explanation, Prediction, Description, and Information Theory","container-title":"Synthese","page":"308-334","volume":"20","issue":"3","author":[{"family":"Hanna","given":"Joseph F."}],"issued":{"date-parts":[["1969"]]}}},{"id":550,"uris":["http://zotero.org/users/270153/items/TME7K9KM"],"uri":["http://zotero.org/users/270153/items/TME7K9KM"],"itemData":{"id":550,"type":"article-journal","title":"Reintroducing Prediction to Explanation","container-title":"Philosophy of Science","page":"444-463","volume":"76","author":[{"family":"Douglas","given":"Heather"}],"issued":{"date-parts":[["2009"]]}}}],"schema":"https://github.com/citation-style-language/schema/raw/master/csl-citation.json"} </w:instrText>
      </w:r>
      <w:r w:rsidR="006913EA">
        <w:fldChar w:fldCharType="separate"/>
      </w:r>
      <w:r w:rsidR="006913EA" w:rsidRPr="00602CF8">
        <w:rPr>
          <w:rFonts w:ascii="Cambria" w:hAnsi="Cambria"/>
        </w:rPr>
        <w:t>(e.g. C. Hempel and Oppenheim 1948; Scheffler 1957; Rescher 1958; Canfield and Lehrer 1961; Rescher 1963; Kim 1964; Suchting 1967; Hanna 1969; Douglas 2009)</w:t>
      </w:r>
      <w:r w:rsidR="006913EA">
        <w:fldChar w:fldCharType="end"/>
      </w:r>
      <w:r w:rsidR="006913EA">
        <w:t xml:space="preserve">. </w:t>
      </w:r>
      <w:r w:rsidR="00CC0FE1">
        <w:t>Is there a viable DN theory of prediction?</w:t>
      </w:r>
    </w:p>
    <w:p w14:paraId="62F3711D" w14:textId="7B38ABD4" w:rsidR="00CC0FE1" w:rsidRDefault="001B23BA" w:rsidP="00DA3D41">
      <w:r>
        <w:t xml:space="preserve">It is hard to dispute the claim that laws of nature may be useful for making predictions. </w:t>
      </w:r>
      <w:r w:rsidR="002454B9">
        <w:t xml:space="preserve">If one wishes to predict the next </w:t>
      </w:r>
      <w:r w:rsidR="00CC0FE1">
        <w:t xml:space="preserve">solar </w:t>
      </w:r>
      <w:r w:rsidR="002454B9">
        <w:t xml:space="preserve">eclipse, DN prediction is likely to work very well. But the solar system is a special case, as perceptive commentators have noted </w:t>
      </w:r>
      <w:r w:rsidR="002454B9">
        <w:fldChar w:fldCharType="begin"/>
      </w:r>
      <w:r w:rsidR="002937C8">
        <w:instrText xml:space="preserve"> ADDIN ZOTERO_ITEM CSL_CITATION {"citationID":"W2g3tt1w","properties":{"formattedCitation":"(Anscombe 1971)","plainCitation":"(Anscombe 1971)"},"citationItems":[{"id":293,"uris":["http://zotero.org/users/270153/items/ME9QPJFS"],"uri":["http://zotero.org/users/270153/items/ME9QPJFS"],"itemData":{"id":293,"type":"book","title":"Causality and Determination","publisher":"Cambridge University Press","publisher-place":"Cambridge","event-place":"Cambridge","author":[{"family":"Anscombe","given":"G. E.M"}],"issued":{"date-parts":[["1971"]]}}}],"schema":"https://github.com/citation-style-language/schema/raw/master/csl-citation.json"} </w:instrText>
      </w:r>
      <w:r w:rsidR="002454B9">
        <w:fldChar w:fldCharType="separate"/>
      </w:r>
      <w:r w:rsidR="002454B9" w:rsidRPr="002454B9">
        <w:rPr>
          <w:rFonts w:ascii="Cambria" w:hAnsi="Cambria"/>
        </w:rPr>
        <w:t>(Anscombe 1971)</w:t>
      </w:r>
      <w:r w:rsidR="002454B9">
        <w:fldChar w:fldCharType="end"/>
      </w:r>
      <w:r w:rsidR="00CC0FE1">
        <w:t>, since it is a system that proceeds in an orderly fashion with remarkably little interven</w:t>
      </w:r>
      <w:r w:rsidR="00A10CE3">
        <w:t>tion from external factors within human timeframes.</w:t>
      </w:r>
    </w:p>
    <w:p w14:paraId="3673E7FD" w14:textId="22A6A983" w:rsidR="00D421FF" w:rsidRDefault="001B23BA" w:rsidP="00DA3D41">
      <w:r>
        <w:t xml:space="preserve">The </w:t>
      </w:r>
      <w:r w:rsidR="00D421FF">
        <w:t xml:space="preserve">central </w:t>
      </w:r>
      <w:r>
        <w:t>difficulty with DN pre</w:t>
      </w:r>
      <w:r w:rsidR="00CC0FE1">
        <w:t xml:space="preserve">diction is that it cannot handle intervention by </w:t>
      </w:r>
      <w:r w:rsidR="00A10CE3">
        <w:t>external factors, of the kind that are largely absent from the progress of the solar system over the timeframe of a prediction of the next solar eclipse. A</w:t>
      </w:r>
      <w:r>
        <w:t xml:space="preserve">ll known scientific laws only hold ceteris paribus – “other things being equal”. As for extrapolation, the question then becomes whether other things are equal. </w:t>
      </w:r>
      <w:r w:rsidR="00D421FF">
        <w:t xml:space="preserve">The external question for a prediction relying on laws is whether the ceteris paribus clause is satisfied, and whether the initial </w:t>
      </w:r>
      <w:r w:rsidR="00D421FF">
        <w:lastRenderedPageBreak/>
        <w:t>conditions a</w:t>
      </w:r>
      <w:r w:rsidR="00A10CE3">
        <w:t>re as one supposes them to be.</w:t>
      </w:r>
      <w:r w:rsidR="00A10CE3">
        <w:rPr>
          <w:rStyle w:val="FootnoteReference"/>
        </w:rPr>
        <w:footnoteReference w:id="4"/>
      </w:r>
      <w:r w:rsidR="00A10CE3">
        <w:t xml:space="preserve"> </w:t>
      </w:r>
      <w:r>
        <w:t xml:space="preserve">DN prediction </w:t>
      </w:r>
      <w:r w:rsidR="00A10CE3">
        <w:t>does not</w:t>
      </w:r>
      <w:r>
        <w:t xml:space="preserve"> suffice for good prediction, because the mere fact that a claim is deduced from laws plus initial conditions does not suffice to show that the ceteris paribus clause for that law is satisfied. </w:t>
      </w:r>
      <w:r w:rsidR="002454B9">
        <w:t>Even when predicting an eclipse, the goodness of a prediction invoking laws depends upon our background knowledge that intrusions into the Solar System are highly unlikely</w:t>
      </w:r>
      <w:r w:rsidR="00D421FF">
        <w:t>, as well as on assumptions about the negligibility of inevitable measurement errors concerning the initial positions of the planets.</w:t>
      </w:r>
    </w:p>
    <w:p w14:paraId="1797A024" w14:textId="77777777" w:rsidR="006913EA" w:rsidRPr="006913EA" w:rsidRDefault="00D421FF" w:rsidP="00DA3D41">
      <w:r>
        <w:t xml:space="preserve">These assumptions might be perfectly legitimate. Again, I am not disputing that </w:t>
      </w:r>
      <w:r w:rsidR="004921B1">
        <w:t xml:space="preserve">deduction from natural law </w:t>
      </w:r>
      <w:r>
        <w:t xml:space="preserve">is a reasonable way to predict </w:t>
      </w:r>
      <w:r w:rsidR="004921B1">
        <w:t>solar eclipses. Rather, I am disputing the idea that deduction from law provides the basis of a theory of good prediction. A</w:t>
      </w:r>
      <w:r>
        <w:t xml:space="preserve"> theory of good prediction must tell us </w:t>
      </w:r>
      <w:r>
        <w:rPr>
          <w:i/>
        </w:rPr>
        <w:t xml:space="preserve">why </w:t>
      </w:r>
      <w:r w:rsidR="004921B1">
        <w:t xml:space="preserve">this </w:t>
      </w:r>
      <w:r>
        <w:t>is a good way</w:t>
      </w:r>
      <w:r w:rsidR="004921B1">
        <w:t xml:space="preserve"> of predicting eclipses</w:t>
      </w:r>
      <w:r>
        <w:t xml:space="preserve">. The contemplated answer is, “Because it uses laws of nature.” That is a bad answer because </w:t>
      </w:r>
      <w:r w:rsidR="004921B1">
        <w:t xml:space="preserve">it does not distinguish this case from </w:t>
      </w:r>
      <w:r>
        <w:t xml:space="preserve">other circumstances, such as predicting the weather, </w:t>
      </w:r>
      <w:r w:rsidR="004921B1">
        <w:t xml:space="preserve">where deduction from </w:t>
      </w:r>
      <w:r>
        <w:t xml:space="preserve">laws of nature is a </w:t>
      </w:r>
      <w:r w:rsidR="004921B1">
        <w:t>bad prediction activity</w:t>
      </w:r>
      <w:r w:rsidR="0024598F">
        <w:t xml:space="preserve">. </w:t>
      </w:r>
      <w:r w:rsidR="001B23BA">
        <w:t xml:space="preserve">There is </w:t>
      </w:r>
      <w:r>
        <w:t xml:space="preserve">thus </w:t>
      </w:r>
      <w:r w:rsidR="001B23BA">
        <w:t>more to good prediction than deduction from natural law.</w:t>
      </w:r>
    </w:p>
    <w:p w14:paraId="2EE746A4" w14:textId="77777777" w:rsidR="00C57CA0" w:rsidRDefault="00C57CA0" w:rsidP="00DA3D41">
      <w:pPr>
        <w:pStyle w:val="Heading2"/>
      </w:pPr>
      <w:r>
        <w:t>Prediction from Causes</w:t>
      </w:r>
    </w:p>
    <w:p w14:paraId="798DD8F1" w14:textId="26F4C338" w:rsidR="005F1BCE" w:rsidRDefault="005F1BCE" w:rsidP="00DA3D41">
      <w:r>
        <w:t xml:space="preserve">It is commonly supposed among those who think about public policy that knowledge of causes is necessary for reliably predicting the outcome of policy interventions </w:t>
      </w:r>
      <w:r>
        <w:fldChar w:fldCharType="begin"/>
      </w:r>
      <w:r w:rsidR="002937C8">
        <w:instrText xml:space="preserve"> ADDIN ZOTERO_ITEM CSL_CITATION {"citationID":"hTA1xr32","properties":{"formattedCitation":"(see e.g. Rutter 2007)","plainCitation":"(see e.g. Rutter 2007)"},"citationItems":[{"id":96,"uris":["http://zotero.org/users/270153/items/86SSNFXG"],"uri":["http://zotero.org/users/270153/items/86SSNFXG"],"itemData":{"id":96,"type":"report","title":"Identifying the environmental causes of disease: how should we decide what to believe and when to take action?","publisher":"The Academy of Medical Sciences","author":[{"family":"Rutter","given":"Michael"}],"issued":{"date-parts":[["2007"]]}},"prefix":"see e.g."}],"schema":"https://github.com/citation-style-language/schema/raw/master/csl-citation.json"} </w:instrText>
      </w:r>
      <w:r>
        <w:fldChar w:fldCharType="separate"/>
      </w:r>
      <w:r w:rsidRPr="005F1BCE">
        <w:rPr>
          <w:rFonts w:ascii="Cambria" w:hAnsi="Cambria"/>
        </w:rPr>
        <w:t>(see e.g. Rutter 2007)</w:t>
      </w:r>
      <w:r>
        <w:fldChar w:fldCharType="end"/>
      </w:r>
      <w:r>
        <w:t xml:space="preserve">. Causal knowledge can protect us from being led into error when mere extrapolation goes wrong. If, for example, we know that a program to educate mothers about infant nutrition worked in part because mothers in that region control food purchases and distribution within the household, then we will not mistakenly predict </w:t>
      </w:r>
      <w:r>
        <w:lastRenderedPageBreak/>
        <w:t xml:space="preserve">that it will work in a region where husbands do the shopping and mothers-in-law head the household </w:t>
      </w:r>
      <w:r>
        <w:fldChar w:fldCharType="begin"/>
      </w:r>
      <w:r w:rsidR="002937C8">
        <w:instrText xml:space="preserve"> ADDIN ZOTERO_ITEM CSL_CITATION {"citationID":"nEQ5dPKw","properties":{"formattedCitation":"(Cartwright 2010)","plainCitation":"(Cartwright 2010)"},"citationItems":[{"id":301,"uris":["http://zotero.org/users/270153/items/ICVPJ5JV"],"uri":["http://zotero.org/users/270153/items/ICVPJ5JV"],"itemData":{"id":301,"type":"paper-conference","title":"Will this policy work for you? Predicting effectiveness better: How philosophy helps","container-title":"PSA Presidential Address","event":"Philosophy of Science Association Biennial Meeting","URL":"http://personal.lse.ac.uk/cartwrig/PSA%20Address/PSA%202%20Nov%200900.pdf","author":[{"family":"Cartwright","given":"Nancy"}],"issued":{"date-parts":[["2010"]]},"accessed":{"date-parts":[["2012",5,1]]}}}],"schema":"https://github.com/citation-style-language/schema/raw/master/csl-citation.json"} </w:instrText>
      </w:r>
      <w:r>
        <w:fldChar w:fldCharType="separate"/>
      </w:r>
      <w:r w:rsidRPr="005F1BCE">
        <w:rPr>
          <w:rFonts w:ascii="Cambria" w:hAnsi="Cambria"/>
        </w:rPr>
        <w:t>(Cartwright 2010)</w:t>
      </w:r>
      <w:r>
        <w:fldChar w:fldCharType="end"/>
      </w:r>
      <w:r>
        <w:t>. Perhaps there are classes of predictions that may count as good despite a lack of causal knowledge (I invite the reader to identify some), but at least as practical a rule of thumb, it seems safe to exclude as good those predictions where the causes of the predicted phenomena either are n</w:t>
      </w:r>
      <w:r w:rsidR="00E65683">
        <w:t>ot known or do not form part of</w:t>
      </w:r>
      <w:r>
        <w:t xml:space="preserve"> the justification for the prediction.</w:t>
      </w:r>
    </w:p>
    <w:p w14:paraId="51C88DCF" w14:textId="3A323C06" w:rsidR="00B633DB" w:rsidRDefault="005F1BCE" w:rsidP="00DA3D41">
      <w:r>
        <w:t>However, causal knowledge is clearly not sufficient for prediction, and as such we cannot rest with a simple causal model of good prediction. There are some thorny issues here concerning the distinction between general and particular causal claims. If we know the truth of a particular causal claim then (standardly) that implies the occurrence of the effect in question.</w:t>
      </w:r>
      <w:r w:rsidR="00B633DB">
        <w:t xml:space="preserve"> But this is not the case</w:t>
      </w:r>
      <w:r w:rsidR="007421FA">
        <w:t xml:space="preserve"> in the context of forecasting. When forecasting</w:t>
      </w:r>
      <w:r w:rsidR="00B633DB">
        <w:t xml:space="preserve">, we </w:t>
      </w:r>
      <w:r w:rsidR="007421FA">
        <w:t xml:space="preserve">usually </w:t>
      </w:r>
      <w:r w:rsidR="00B633DB">
        <w:t xml:space="preserve">know that a given event </w:t>
      </w:r>
      <w:r w:rsidR="00B633DB">
        <w:rPr>
          <w:i/>
        </w:rPr>
        <w:t xml:space="preserve">can </w:t>
      </w:r>
      <w:r w:rsidR="00B633DB">
        <w:t>cause a given effect.</w:t>
      </w:r>
      <w:r>
        <w:t xml:space="preserve"> </w:t>
      </w:r>
      <w:r w:rsidR="00B633DB">
        <w:t xml:space="preserve">But we may not know that it </w:t>
      </w:r>
      <w:r w:rsidR="00B633DB">
        <w:rPr>
          <w:i/>
        </w:rPr>
        <w:t>will</w:t>
      </w:r>
      <w:r w:rsidR="00B633DB">
        <w:t xml:space="preserve"> cause that effect on this occasion. The same event can be a cause of both E and not-E. For example, if housing prices crash tomorrow, the rate of inflation will likely be among the causes. But if housing prices rise tomorrow, the rate of inflation will also be among the causes. It contributes in either case. If there is a storm tomorrow, the air pressure is among the causes; and likewise if there is not. If you speak your mind in a meeting, the presence of oxygen is among the cause</w:t>
      </w:r>
      <w:r w:rsidR="00981856">
        <w:t>s</w:t>
      </w:r>
      <w:r w:rsidR="00B633DB">
        <w:t xml:space="preserve">; and likewise if you remain silent. </w:t>
      </w:r>
      <w:r w:rsidR="00981856">
        <w:t>Many causes of actual effects are like this: they could also have been among causes of other events that did not in fact occur.</w:t>
      </w:r>
      <w:r w:rsidR="007421FA">
        <w:rPr>
          <w:rStyle w:val="FootnoteReference"/>
        </w:rPr>
        <w:footnoteReference w:id="5"/>
      </w:r>
      <w:r w:rsidR="007421FA">
        <w:t xml:space="preserve"> </w:t>
      </w:r>
      <w:r w:rsidR="00981856">
        <w:t>From the point of view of predicting, this means that m</w:t>
      </w:r>
      <w:r w:rsidR="00B633DB">
        <w:t xml:space="preserve">erely because a given event </w:t>
      </w:r>
      <w:r w:rsidR="00B633DB">
        <w:rPr>
          <w:i/>
        </w:rPr>
        <w:t>can</w:t>
      </w:r>
      <w:r w:rsidR="00B633DB">
        <w:t xml:space="preserve"> cause something does not mean that it </w:t>
      </w:r>
      <w:r w:rsidR="00B633DB">
        <w:rPr>
          <w:i/>
        </w:rPr>
        <w:t>will</w:t>
      </w:r>
      <w:r w:rsidR="00B633DB">
        <w:t xml:space="preserve"> on a particular occasion</w:t>
      </w:r>
      <w:r w:rsidR="00981856">
        <w:t xml:space="preserve">, and therefore that some warrant is required </w:t>
      </w:r>
      <w:r w:rsidR="00981856">
        <w:lastRenderedPageBreak/>
        <w:t>for the inference that a cause that is capable of having a given effect will in fact have that effect</w:t>
      </w:r>
      <w:r w:rsidR="00B633DB">
        <w:t>.</w:t>
      </w:r>
      <w:r w:rsidR="007421FA">
        <w:rPr>
          <w:rStyle w:val="FootnoteReference"/>
        </w:rPr>
        <w:footnoteReference w:id="6"/>
      </w:r>
    </w:p>
    <w:p w14:paraId="79BBA5DE" w14:textId="2614A808" w:rsidR="005F1BCE" w:rsidRDefault="00B633DB" w:rsidP="00DA3D41">
      <w:r>
        <w:t xml:space="preserve">We need to know how to move from </w:t>
      </w:r>
      <w:r w:rsidR="00CB5031">
        <w:t>“</w:t>
      </w:r>
      <w:r w:rsidRPr="00CB5031">
        <w:t>can</w:t>
      </w:r>
      <w:r>
        <w:t xml:space="preserve"> cause</w:t>
      </w:r>
      <w:r w:rsidR="00CB5031">
        <w:t>”</w:t>
      </w:r>
      <w:r>
        <w:t xml:space="preserve"> to </w:t>
      </w:r>
      <w:r w:rsidR="00CB5031">
        <w:t xml:space="preserve">“will </w:t>
      </w:r>
      <w:r>
        <w:t>cause</w:t>
      </w:r>
      <w:r w:rsidR="00CB5031">
        <w:t>”</w:t>
      </w:r>
      <w:r>
        <w:t>.</w:t>
      </w:r>
      <w:r w:rsidR="007421FA">
        <w:t xml:space="preserve"> </w:t>
      </w:r>
      <w:r w:rsidR="00CB5031">
        <w:t xml:space="preserve">This move will depend on knowledge of </w:t>
      </w:r>
      <w:r w:rsidR="004F36A5">
        <w:t xml:space="preserve">other causal </w:t>
      </w:r>
      <w:r w:rsidR="00CB5031">
        <w:t>circumstances</w:t>
      </w:r>
      <w:r w:rsidR="004F36A5">
        <w:t xml:space="preserve">. Whether oxygen causes silence or speech depends on what else is going on. We might say that causal knowledge is sufficient for prediction when the knowledge is of a </w:t>
      </w:r>
      <w:r w:rsidR="004F36A5" w:rsidRPr="004F36A5">
        <w:rPr>
          <w:i/>
        </w:rPr>
        <w:t>sufficient</w:t>
      </w:r>
      <w:r w:rsidR="004F36A5">
        <w:t xml:space="preserve"> cause; but that is a bad move, because we probably never have knowledge of sufficient causes in their entirety – such knowledge would need to exclude every possible intervener, including meteorites from out of space, solar flares,</w:t>
      </w:r>
      <w:r w:rsidR="009408E2">
        <w:t xml:space="preserve"> highly unlikely quantum events, and so forth. If good prediction requires knowledge of that sort then we can never achieve it. Surely the difficulty of knowing these things </w:t>
      </w:r>
      <w:r w:rsidR="009408E2">
        <w:rPr>
          <w:i/>
        </w:rPr>
        <w:t>does</w:t>
      </w:r>
      <w:r w:rsidR="009408E2">
        <w:t xml:space="preserve"> have something to do with the difficulty of prediction</w:t>
      </w:r>
      <w:r w:rsidR="009F7469">
        <w:t>. To invoke sufficient causes is tantamount to saying that warrant for using causes to predict only comes when one knows all the circumstances are as they need to be.</w:t>
      </w:r>
      <w:r w:rsidR="009408E2">
        <w:t xml:space="preserve"> </w:t>
      </w:r>
      <w:r w:rsidR="009F7469">
        <w:t>Perhaps; but that would be depressing if so. I</w:t>
      </w:r>
      <w:r w:rsidR="009408E2">
        <w:t>f we want to draw a useful line between good and bad predictions, we need a standard that can be humanly satisfied</w:t>
      </w:r>
      <w:r w:rsidR="009F7469">
        <w:t>, and so should reject those standards that clearly would yield true predictions but are equally clearly unattainable by humans, just as we reject those standards that would wrongly judge bad predictions to be good</w:t>
      </w:r>
      <w:r w:rsidR="009408E2">
        <w:t>.</w:t>
      </w:r>
    </w:p>
    <w:p w14:paraId="0EAA5B6F" w14:textId="77777777" w:rsidR="00C57CA0" w:rsidRDefault="009408E2" w:rsidP="00DA3D41">
      <w:pPr>
        <w:pStyle w:val="Heading2"/>
      </w:pPr>
      <w:r>
        <w:t>Prediction from Mechanism</w:t>
      </w:r>
    </w:p>
    <w:p w14:paraId="388257D7" w14:textId="4C6F0561" w:rsidR="009408E2" w:rsidRDefault="009408E2" w:rsidP="00DA3D41">
      <w:r>
        <w:t>Much</w:t>
      </w:r>
      <w:r w:rsidR="00F9304F">
        <w:t>, probably too much,</w:t>
      </w:r>
      <w:r>
        <w:t xml:space="preserve"> has been made of the notion of </w:t>
      </w:r>
      <w:r w:rsidRPr="000A4EC2">
        <w:rPr>
          <w:i/>
        </w:rPr>
        <w:t>mechanism</w:t>
      </w:r>
      <w:r>
        <w:t xml:space="preserve"> in recent philosophy of science. Perhaps prediction requires knowledge of an underlying </w:t>
      </w:r>
      <w:r>
        <w:lastRenderedPageBreak/>
        <w:t xml:space="preserve">mechanism. Such knowledge is presumably a kind of causal knowledge, but with bells and whistles: one does </w:t>
      </w:r>
      <w:r w:rsidR="009F7469">
        <w:t xml:space="preserve">not simply know </w:t>
      </w:r>
      <w:r w:rsidR="009F7469" w:rsidRPr="007C0312">
        <w:rPr>
          <w:i/>
        </w:rPr>
        <w:t>that</w:t>
      </w:r>
      <w:r w:rsidR="009F7469">
        <w:t xml:space="preserve"> A causes B;</w:t>
      </w:r>
      <w:r>
        <w:t xml:space="preserve"> one has a detailed picture of </w:t>
      </w:r>
      <w:r w:rsidRPr="007C0312">
        <w:rPr>
          <w:i/>
        </w:rPr>
        <w:t>how</w:t>
      </w:r>
      <w:r>
        <w:t xml:space="preserve"> A </w:t>
      </w:r>
      <w:r w:rsidR="000A4EC2">
        <w:t>causes</w:t>
      </w:r>
      <w:r>
        <w:t xml:space="preserve"> B. It is the difference between knowing that winding your watch causes the hands to go round, and understanding </w:t>
      </w:r>
      <w:r w:rsidR="000A4EC2">
        <w:t xml:space="preserve">how winding causes the hands to go round – understanding </w:t>
      </w:r>
      <w:r>
        <w:t xml:space="preserve">the watch </w:t>
      </w:r>
      <w:r w:rsidRPr="000A4EC2">
        <w:rPr>
          <w:i/>
        </w:rPr>
        <w:t>mechanism</w:t>
      </w:r>
      <w:r>
        <w:t xml:space="preserve">. </w:t>
      </w:r>
      <w:r w:rsidR="009F7469">
        <w:t>And indeed it</w:t>
      </w:r>
      <w:r>
        <w:t xml:space="preserve"> is plausible that someone who understands the watch mechanism will make better predictions about the watch than someone who merely knows that winding causes ticking.</w:t>
      </w:r>
    </w:p>
    <w:p w14:paraId="7B709484" w14:textId="7DEF8C40" w:rsidR="009408E2" w:rsidRDefault="006A4A8F" w:rsidP="00DA3D41">
      <w:r>
        <w:t>Knowledge of mechanisms, as a kind of detailed causal knowledge, is surely useful for predicting. But it is neither necessary nor sufficient</w:t>
      </w:r>
      <w:r w:rsidR="000A4EC2">
        <w:t>, as I have argued elsewhere</w:t>
      </w:r>
      <w:r>
        <w:t xml:space="preserve"> [author’s ref]. Prof Barometer knows how his barometer works but is ignorant of the fact that air pressure falls with altitude, due to h</w:t>
      </w:r>
      <w:r w:rsidR="000A4EC2">
        <w:t xml:space="preserve">is cloistered life </w:t>
      </w:r>
      <w:r w:rsidR="0041683F">
        <w:t xml:space="preserve">at a </w:t>
      </w:r>
      <w:r w:rsidR="000A4EC2">
        <w:t>university</w:t>
      </w:r>
      <w:r w:rsidR="0041683F">
        <w:t xml:space="preserve"> located in</w:t>
      </w:r>
      <w:r w:rsidR="000A4EC2">
        <w:t xml:space="preserve"> a low-lying English swamp</w:t>
      </w:r>
      <w:r>
        <w:t xml:space="preserve">. His predictions about the weather go wrong when he visits his old school friend </w:t>
      </w:r>
      <w:r w:rsidR="00FC33E9">
        <w:t xml:space="preserve">Joe </w:t>
      </w:r>
      <w:r>
        <w:t>User, who lives in a hilly region. Joe is ignorant about the workings of barometers but knows from experience that changes in altitude affect their reliability; he is safe from a set of errors that Prof Barometer is not, and is in fact a more reliable predictor using his barometer.</w:t>
      </w:r>
      <w:r w:rsidR="00FC33E9">
        <w:t xml:space="preserve"> Prof Barometer’s knowledge of the mechanism is not sufficient for good prediction</w:t>
      </w:r>
      <w:r w:rsidR="00D62077">
        <w:t>. A</w:t>
      </w:r>
      <w:r w:rsidR="00FC33E9">
        <w:t>nd Joe User’s ignorance of the mechanism does not prevent him from making good predictions, showing that knowledge of the mechanism is not necessary</w:t>
      </w:r>
      <w:r w:rsidR="00D62077">
        <w:t xml:space="preserve"> for good prediction.</w:t>
      </w:r>
    </w:p>
    <w:p w14:paraId="28FE7BBF" w14:textId="13583422" w:rsidR="00FC33E9" w:rsidRPr="00FC33E9" w:rsidRDefault="00FC33E9" w:rsidP="00DA3D41">
      <w:r>
        <w:t xml:space="preserve">Again, circumstances matter. One </w:t>
      </w:r>
      <w:r>
        <w:rPr>
          <w:i/>
        </w:rPr>
        <w:t>can</w:t>
      </w:r>
      <w:r>
        <w:t xml:space="preserve"> predict using mechanistic knowledge, provided that the circumstances are right for the mechanism to work. In different circumstances the same mechanistic knowledge might yield quite different predictions.</w:t>
      </w:r>
      <w:r w:rsidR="005F66DF">
        <w:t xml:space="preserve"> Our question, “How good is this prediction?</w:t>
      </w:r>
      <w:proofErr w:type="gramStart"/>
      <w:r w:rsidR="005F66DF">
        <w:t>”,</w:t>
      </w:r>
      <w:proofErr w:type="gramEnd"/>
      <w:r w:rsidR="005F66DF">
        <w:t xml:space="preserve"> taken in the external sense, asks what warrant there is for supposing that the circumstances are right for the mechanism to work and not </w:t>
      </w:r>
      <w:r w:rsidR="005F66DF">
        <w:lastRenderedPageBreak/>
        <w:t xml:space="preserve">break. Although further mechanistic knowledge may be invoked in establishing this warrant, the mere fact that a mechanism is used to make a prediction </w:t>
      </w:r>
      <w:r w:rsidR="001F46D1">
        <w:t xml:space="preserve">obviously </w:t>
      </w:r>
      <w:r w:rsidR="005F66DF">
        <w:t>does not in itself establish that circumstances were right for its use. Thus our theory of good prediction cannot start from the point that a good prediction is one that employs mechanistic knowledge, since bad predictions also can.</w:t>
      </w:r>
    </w:p>
    <w:p w14:paraId="45DE2887" w14:textId="77777777" w:rsidR="00897827" w:rsidRDefault="008329C0" w:rsidP="00DA3D41">
      <w:pPr>
        <w:pStyle w:val="Heading1"/>
      </w:pPr>
      <w:bookmarkStart w:id="2" w:name="_Ref349132476"/>
      <w:r>
        <w:t>The Psychology of</w:t>
      </w:r>
      <w:r w:rsidR="00897827">
        <w:t xml:space="preserve"> Good Prediction</w:t>
      </w:r>
      <w:bookmarkEnd w:id="2"/>
    </w:p>
    <w:p w14:paraId="76C58A39" w14:textId="77777777" w:rsidR="003F1C3A" w:rsidRDefault="008329C0" w:rsidP="00DA3D41">
      <w:r>
        <w:t xml:space="preserve">The psychologist Philip </w:t>
      </w:r>
      <w:proofErr w:type="spellStart"/>
      <w:r>
        <w:t>Tetlock</w:t>
      </w:r>
      <w:proofErr w:type="spellEnd"/>
      <w:r>
        <w:t xml:space="preserve"> has conducted a long term study of the predictive accuracy of putative experts in the social and political sciences</w:t>
      </w:r>
      <w:r w:rsidR="009E14B2">
        <w:t xml:space="preserve"> </w:t>
      </w:r>
      <w:r w:rsidR="009E14B2">
        <w:fldChar w:fldCharType="begin"/>
      </w:r>
      <w:r w:rsidR="002937C8">
        <w:instrText xml:space="preserve"> ADDIN ZOTERO_ITEM CSL_CITATION {"citationID":"W1Lp3EFs","properties":{"formattedCitation":"(Tetlock 2005)","plainCitation":"(Tetlock 2005)"},"citationItems":[{"id":525,"uris":["http://zotero.org/users/270153/items/FBKIJT8X"],"uri":["http://zotero.org/users/270153/items/FBKIJT8X"],"itemData":{"id":525,"type":"book","title":"Expert Political Judgement - How Good Is It? How Can We Know?","publisher":"Princeton University Press","publisher-place":"Princeton and Oxford","event-place":"Princeton and Oxford","author":[{"family":"Tetlock","given":"Philip"}],"issued":{"date-parts":[["2005"]]}}}],"schema":"https://github.com/citation-style-language/schema/raw/master/csl-citation.json"} </w:instrText>
      </w:r>
      <w:r w:rsidR="009E14B2">
        <w:fldChar w:fldCharType="separate"/>
      </w:r>
      <w:r w:rsidR="009E14B2" w:rsidRPr="009E14B2">
        <w:rPr>
          <w:rFonts w:ascii="Cambria" w:hAnsi="Cambria"/>
        </w:rPr>
        <w:t>(Tetlock 2005)</w:t>
      </w:r>
      <w:r w:rsidR="009E14B2">
        <w:fldChar w:fldCharType="end"/>
      </w:r>
      <w:r>
        <w:t xml:space="preserve">. “Putative” because their accuracy is poor enough to cast doubt on their expert status in many cases. Predicting political events such as the </w:t>
      </w:r>
      <w:r w:rsidR="002454B9">
        <w:t xml:space="preserve">fall </w:t>
      </w:r>
      <w:r>
        <w:t>of the Soviet Union</w:t>
      </w:r>
      <w:r w:rsidR="002454B9">
        <w:t xml:space="preserve"> </w:t>
      </w:r>
      <w:r w:rsidR="00470874">
        <w:t>may be different from predicting natural events such as tomorrow’s weather. But it would be foolish to ignore this evidence merely on that basis.</w:t>
      </w:r>
    </w:p>
    <w:p w14:paraId="13549BFB" w14:textId="2DF75A5F" w:rsidR="00C74ED7" w:rsidRDefault="009E14B2" w:rsidP="00DA3D41">
      <w:proofErr w:type="spellStart"/>
      <w:r>
        <w:t>Tetlock</w:t>
      </w:r>
      <w:proofErr w:type="spellEnd"/>
      <w:r>
        <w:t xml:space="preserve"> posed “large numbers of experts large numbers of questions about large numbers of cases” and applied “no-</w:t>
      </w:r>
      <w:proofErr w:type="spellStart"/>
      <w:r>
        <w:t>favoritism</w:t>
      </w:r>
      <w:proofErr w:type="spellEnd"/>
      <w:r>
        <w:t xml:space="preserve"> scoring rules to the answers” </w:t>
      </w:r>
      <w:r>
        <w:fldChar w:fldCharType="begin"/>
      </w:r>
      <w:r w:rsidR="002937C8">
        <w:instrText xml:space="preserve"> ADDIN ZOTERO_ITEM CSL_CITATION {"citationID":"z0D93aZn","properties":{"formattedCitation":"(Tetlock 2005, 8)","plainCitation":"(Tetlock 2005, 8)"},"citationItems":[{"id":525,"uris":["http://zotero.org/users/270153/items/FBKIJT8X"],"uri":["http://zotero.org/users/270153/items/FBKIJT8X"],"itemData":{"id":525,"type":"book","title":"Expert Political Judgement - How Good Is It? How Can We Know?","publisher":"Princeton University Press","publisher-place":"Princeton and Oxford","event-place":"Princeton and Oxford","author":[{"family":"Tetlock","given":"Philip"}],"issued":{"date-parts":[["2005"]]}},"locator":"8"}],"schema":"https://github.com/citation-style-language/schema/raw/master/csl-citation.json"} </w:instrText>
      </w:r>
      <w:r>
        <w:fldChar w:fldCharType="separate"/>
      </w:r>
      <w:r w:rsidRPr="009E14B2">
        <w:rPr>
          <w:rFonts w:ascii="Cambria" w:hAnsi="Cambria"/>
        </w:rPr>
        <w:t>(Tetlock 2005, 8)</w:t>
      </w:r>
      <w:r>
        <w:fldChar w:fldCharType="end"/>
      </w:r>
      <w:r>
        <w:t>. The results are sobering</w:t>
      </w:r>
      <w:r w:rsidR="008C12E2">
        <w:t>:</w:t>
      </w:r>
    </w:p>
    <w:p w14:paraId="2FF0959F" w14:textId="77777777" w:rsidR="00C74ED7" w:rsidRDefault="00C74ED7" w:rsidP="00DA3D41">
      <w:pPr>
        <w:pStyle w:val="Quote"/>
      </w:pPr>
      <w:r>
        <w:t xml:space="preserve">When we pit experts against minimalist performance benchmarks – dilettantes, dart-throwing chimps, and assorted extrapolation algorithms – we ﬁnd few signs that expertise translates into greater ability to make either “well-calibrated” or “discriminating” forecasts. </w:t>
      </w:r>
      <w:r>
        <w:fldChar w:fldCharType="begin"/>
      </w:r>
      <w:r w:rsidR="002937C8">
        <w:instrText xml:space="preserve"> ADDIN ZOTERO_ITEM CSL_CITATION {"citationID":"8WIpMPhd","properties":{"formattedCitation":"(Tetlock 2005, 20)","plainCitation":"(Tetlock 2005, 20)"},"citationItems":[{"id":525,"uris":["http://zotero.org/users/270153/items/FBKIJT8X"],"uri":["http://zotero.org/users/270153/items/FBKIJT8X"],"itemData":{"id":525,"type":"book","title":"Expert Political Judgement - How Good Is It? How Can We Know?","publisher":"Princeton University Press","publisher-place":"Princeton and Oxford","event-place":"Princeton and Oxford","author":[{"family":"Tetlock","given":"Philip"}],"issued":{"date-parts":[["2005"]]}},"locator":"20"}],"schema":"https://github.com/citation-style-language/schema/raw/master/csl-citation.json"} </w:instrText>
      </w:r>
      <w:r>
        <w:fldChar w:fldCharType="separate"/>
      </w:r>
      <w:r w:rsidRPr="00C74ED7">
        <w:rPr>
          <w:rFonts w:ascii="Cambria" w:hAnsi="Cambria"/>
        </w:rPr>
        <w:t>(Tetlock 2005, 20)</w:t>
      </w:r>
      <w:r>
        <w:fldChar w:fldCharType="end"/>
      </w:r>
    </w:p>
    <w:p w14:paraId="3BA8B966" w14:textId="77777777" w:rsidR="00C74ED7" w:rsidRDefault="00C74ED7" w:rsidP="00DA3D41">
      <w:r>
        <w:t>Perhaps even more worryingly, p</w:t>
      </w:r>
      <w:r w:rsidR="009E14B2">
        <w:t>rofessional background</w:t>
      </w:r>
      <w:r>
        <w:t xml:space="preserve"> is not significantly correlated with forecasting accuracy</w:t>
      </w:r>
      <w:r w:rsidR="009E14B2">
        <w:t xml:space="preserve">, including whether or not the expert has a doctorate, years of </w:t>
      </w:r>
      <w:r w:rsidR="009E14B2">
        <w:lastRenderedPageBreak/>
        <w:t xml:space="preserve">professional experience, and whether the expert has access to classified information </w:t>
      </w:r>
      <w:r w:rsidR="009E14B2">
        <w:fldChar w:fldCharType="begin"/>
      </w:r>
      <w:r w:rsidR="002937C8">
        <w:instrText xml:space="preserve"> ADDIN ZOTERO_ITEM CSL_CITATION {"citationID":"Lbpzb8Ii","properties":{"formattedCitation":"(Tetlock 2005, 69)","plainCitation":"(Tetlock 2005, 69)"},"citationItems":[{"id":525,"uris":["http://zotero.org/users/270153/items/FBKIJT8X"],"uri":["http://zotero.org/users/270153/items/FBKIJT8X"],"itemData":{"id":525,"type":"book","title":"Expert Political Judgement - How Good Is It? How Can We Know?","publisher":"Princeton University Press","publisher-place":"Princeton and Oxford","event-place":"Princeton and Oxford","author":[{"family":"Tetlock","given":"Philip"}],"issued":{"date-parts":[["2005"]]}},"locator":"69"}],"schema":"https://github.com/citation-style-language/schema/raw/master/csl-citation.json"} </w:instrText>
      </w:r>
      <w:r w:rsidR="009E14B2">
        <w:fldChar w:fldCharType="separate"/>
      </w:r>
      <w:r w:rsidR="009E14B2" w:rsidRPr="009E14B2">
        <w:rPr>
          <w:rFonts w:ascii="Cambria" w:hAnsi="Cambria"/>
        </w:rPr>
        <w:t>(Tetlock 2005, 69)</w:t>
      </w:r>
      <w:r w:rsidR="009E14B2">
        <w:fldChar w:fldCharType="end"/>
      </w:r>
      <w:r w:rsidR="009E14B2">
        <w:t>.</w:t>
      </w:r>
    </w:p>
    <w:p w14:paraId="52DD4037" w14:textId="6B5FBCAB" w:rsidR="00470874" w:rsidRDefault="00C74ED7" w:rsidP="00DA3D41">
      <w:r>
        <w:t xml:space="preserve">However, </w:t>
      </w:r>
      <w:proofErr w:type="spellStart"/>
      <w:r>
        <w:t>Tetlock</w:t>
      </w:r>
      <w:proofErr w:type="spellEnd"/>
      <w:r>
        <w:t xml:space="preserve"> does not recommend general scepticism about </w:t>
      </w:r>
      <w:r w:rsidR="001F46D1">
        <w:t xml:space="preserve">human </w:t>
      </w:r>
      <w:r>
        <w:t xml:space="preserve">predictive ability. He argues that certain cognitive styles </w:t>
      </w:r>
      <w:r w:rsidR="001F46D1">
        <w:t>perform</w:t>
      </w:r>
      <w:r>
        <w:t xml:space="preserve"> noticeably better than others: they </w:t>
      </w:r>
      <w:r>
        <w:rPr>
          <w:i/>
        </w:rPr>
        <w:t>are</w:t>
      </w:r>
      <w:r>
        <w:t xml:space="preserve"> correlated with forecasting accuracy.</w:t>
      </w:r>
      <w:r w:rsidR="007B14AD">
        <w:t xml:space="preserve"> </w:t>
      </w:r>
      <w:proofErr w:type="spellStart"/>
      <w:r w:rsidR="007B14AD">
        <w:t>Tetlock</w:t>
      </w:r>
      <w:proofErr w:type="spellEnd"/>
      <w:r w:rsidR="007B14AD">
        <w:t xml:space="preserve"> takes over </w:t>
      </w:r>
      <w:proofErr w:type="spellStart"/>
      <w:r w:rsidR="007B14AD">
        <w:t>Isiah</w:t>
      </w:r>
      <w:proofErr w:type="spellEnd"/>
      <w:r w:rsidR="007B14AD">
        <w:t xml:space="preserve"> Berlin’s distinction between thinkers who are hedgehogs and thinkers who are foxes </w:t>
      </w:r>
      <w:r w:rsidR="007B14AD">
        <w:fldChar w:fldCharType="begin"/>
      </w:r>
      <w:r w:rsidR="002937C8">
        <w:instrText xml:space="preserve"> ADDIN ZOTERO_ITEM CSL_CITATION {"citationID":"a21frTAp","properties":{"formattedCitation":"(Berlin 2013)","plainCitation":"(Berlin 2013)"},"citationItems":[{"id":562,"uris":["http://zotero.org/groups/69726/items/GV8CQPID"],"uri":["http://zotero.org/groups/69726/items/GV8CQPID"],"itemData":{"id":562,"type":"book","title":"The Hedgehog and the Fox: An Essay on Tolstoy's View of History","publisher":"Princeton University Press","number-of-pages":"160","edition":"2","source":"Amazon.com","ISBN":"069115600X","shortTitle":"The Hedgehog and the Fox","author":[{"family":"Berlin","given":"Isaiah"}],"editor":[{"family":"Hardy","given":"Henry"}],"issued":{"date-parts":[["2013",4,21]]}}}],"schema":"https://github.com/citation-style-language/schema/raw/master/csl-citation.json"} </w:instrText>
      </w:r>
      <w:r w:rsidR="007B14AD">
        <w:fldChar w:fldCharType="separate"/>
      </w:r>
      <w:r w:rsidR="009D7C43" w:rsidRPr="009D7C43">
        <w:rPr>
          <w:rFonts w:ascii="Cambria" w:hAnsi="Cambria"/>
        </w:rPr>
        <w:t>(Berlin 2013)</w:t>
      </w:r>
      <w:r w:rsidR="007B14AD">
        <w:fldChar w:fldCharType="end"/>
      </w:r>
      <w:r w:rsidR="007B14AD">
        <w:t xml:space="preserve">. Hedgehogs know one big thing: they have an overarching idea or intellectual tool which they use to explain and to predict everything. They </w:t>
      </w:r>
      <w:r w:rsidR="00A17389">
        <w:t>tend to be</w:t>
      </w:r>
      <w:r w:rsidR="007B14AD">
        <w:t xml:space="preserve"> intellectually aggressive, making bold claims, and resisting altering those claims when evidence comes to light suggesting that they might be wrong.</w:t>
      </w:r>
      <w:r w:rsidR="00A17389">
        <w:t xml:space="preserve"> They tend to be confident of their opinions, including predictive ones, presumably because they are convinced of the truth of the big idea that generates them. Foxes, on the other hand, use a range of cognitive tools, respond to changing evidential situations, qualify their predictions, and are less certain of them. </w:t>
      </w:r>
      <w:proofErr w:type="spellStart"/>
      <w:r w:rsidR="003E72BD">
        <w:t>Tetlock</w:t>
      </w:r>
      <w:proofErr w:type="spellEnd"/>
      <w:r w:rsidR="003E72BD">
        <w:t xml:space="preserve"> argues that foxy thinking encourages ideological moderation, while hedgehog-</w:t>
      </w:r>
      <w:proofErr w:type="spellStart"/>
      <w:r w:rsidR="003E72BD">
        <w:t>ish</w:t>
      </w:r>
      <w:proofErr w:type="spellEnd"/>
      <w:r w:rsidR="003E72BD">
        <w:t xml:space="preserve"> thinking lends itself to extremism </w:t>
      </w:r>
      <w:r w:rsidR="003E72BD">
        <w:fldChar w:fldCharType="begin"/>
      </w:r>
      <w:r w:rsidR="002937C8">
        <w:instrText xml:space="preserve"> ADDIN ZOTERO_ITEM CSL_CITATION {"citationID":"L2q3FlW5","properties":{"formattedCitation":"(Tetlock 2005, 86)","plainCitation":"(Tetlock 2005, 86)"},"citationItems":[{"id":525,"uris":["http://zotero.org/users/270153/items/FBKIJT8X"],"uri":["http://zotero.org/users/270153/items/FBKIJT8X"],"itemData":{"id":525,"type":"book","title":"Expert Political Judgement - How Good Is It? How Can We Know?","publisher":"Princeton University Press","publisher-place":"Princeton and Oxford","event-place":"Princeton and Oxford","author":[{"family":"Tetlock","given":"Philip"}],"issued":{"date-parts":[["2005"]]}},"locator":"86"}],"schema":"https://github.com/citation-style-language/schema/raw/master/csl-citation.json"} </w:instrText>
      </w:r>
      <w:r w:rsidR="003E72BD">
        <w:fldChar w:fldCharType="separate"/>
      </w:r>
      <w:r w:rsidR="003E72BD" w:rsidRPr="003E72BD">
        <w:rPr>
          <w:rFonts w:ascii="Cambria" w:hAnsi="Cambria"/>
        </w:rPr>
        <w:t>(Tetlock 2005, 86)</w:t>
      </w:r>
      <w:r w:rsidR="003E72BD">
        <w:fldChar w:fldCharType="end"/>
      </w:r>
      <w:r w:rsidR="003E72BD">
        <w:t xml:space="preserve">. </w:t>
      </w:r>
    </w:p>
    <w:p w14:paraId="0CF566BC" w14:textId="77777777" w:rsidR="00A17389" w:rsidRPr="00A17389" w:rsidRDefault="00A17389" w:rsidP="00DA3D41">
      <w:r>
        <w:t xml:space="preserve">Elsewhere I have advocated a simple heuristic for prediction by asking the question, “What could possibly go wrong?” </w:t>
      </w:r>
      <w:r w:rsidR="009D1894">
        <w:t xml:space="preserve">I have not done </w:t>
      </w:r>
      <w:proofErr w:type="spellStart"/>
      <w:r>
        <w:t>Tetlock’s</w:t>
      </w:r>
      <w:proofErr w:type="spellEnd"/>
      <w:r>
        <w:t xml:space="preserve"> study </w:t>
      </w:r>
      <w:r w:rsidR="009D1894">
        <w:t xml:space="preserve">justice in this summary, but it nevertheless </w:t>
      </w:r>
      <w:r>
        <w:t xml:space="preserve">provides some empirical </w:t>
      </w:r>
      <w:r w:rsidR="009D1894">
        <w:t>plausibility</w:t>
      </w:r>
      <w:r>
        <w:t xml:space="preserve"> that thinkers who follow this rule of thumb are better predictors than those who do not. This suggests that </w:t>
      </w:r>
      <w:r w:rsidR="009D1894">
        <w:t>it would not be entirely hedgehog-</w:t>
      </w:r>
      <w:proofErr w:type="spellStart"/>
      <w:r w:rsidR="009D1894">
        <w:t>ish</w:t>
      </w:r>
      <w:proofErr w:type="spellEnd"/>
      <w:r w:rsidR="009D1894">
        <w:t xml:space="preserve"> to seek to develop and generalise an account of prediction along lines which I have gestured at elsewhere [author’s ref].</w:t>
      </w:r>
    </w:p>
    <w:p w14:paraId="3D72EB3A" w14:textId="77777777" w:rsidR="00A11175" w:rsidRDefault="00C57CA0" w:rsidP="00DA3D41">
      <w:pPr>
        <w:pStyle w:val="Heading1"/>
      </w:pPr>
      <w:bookmarkStart w:id="3" w:name="_Ref349132758"/>
      <w:r>
        <w:lastRenderedPageBreak/>
        <w:t>A Theory of Good Prediction</w:t>
      </w:r>
      <w:bookmarkEnd w:id="3"/>
    </w:p>
    <w:p w14:paraId="121DB6E0" w14:textId="75A884C1" w:rsidR="00A21DF4" w:rsidRDefault="009A5669" w:rsidP="00690DC7">
      <w:r>
        <w:t xml:space="preserve">The trouble with seeking a model of prediction in terms of any of the concepts identified in Section </w:t>
      </w:r>
      <w:r>
        <w:fldChar w:fldCharType="begin"/>
      </w:r>
      <w:r>
        <w:instrText xml:space="preserve"> REF _Ref349132450 \r \h </w:instrText>
      </w:r>
      <w:r w:rsidR="00DA3D41">
        <w:instrText xml:space="preserve"> \* MERGEFORMAT </w:instrText>
      </w:r>
      <w:r>
        <w:fldChar w:fldCharType="separate"/>
      </w:r>
      <w:r w:rsidR="00865753">
        <w:t>III</w:t>
      </w:r>
      <w:r>
        <w:fldChar w:fldCharType="end"/>
      </w:r>
      <w:r>
        <w:t xml:space="preserve"> is </w:t>
      </w:r>
      <w:r w:rsidRPr="00A21DF4">
        <w:rPr>
          <w:i/>
        </w:rPr>
        <w:t>not</w:t>
      </w:r>
      <w:r>
        <w:t xml:space="preserve"> that they are useless for making predictions. On the contrary, without appealing to one or other of these notions, it is hard to see how prediction could amount to more than guesswork.</w:t>
      </w:r>
      <w:r w:rsidR="00630D5A">
        <w:t xml:space="preserve"> </w:t>
      </w:r>
      <w:r w:rsidR="00A21DF4">
        <w:t xml:space="preserve">Taken together, the review of conceptual resources in </w:t>
      </w:r>
      <w:r w:rsidR="00690DC7">
        <w:t xml:space="preserve">Section </w:t>
      </w:r>
      <w:r w:rsidR="00690DC7">
        <w:fldChar w:fldCharType="begin"/>
      </w:r>
      <w:r w:rsidR="00690DC7">
        <w:instrText xml:space="preserve"> REF _Ref349132450 \r \h </w:instrText>
      </w:r>
      <w:r w:rsidR="00690DC7">
        <w:fldChar w:fldCharType="separate"/>
      </w:r>
      <w:r w:rsidR="00865753">
        <w:t>III</w:t>
      </w:r>
      <w:r w:rsidR="00690DC7">
        <w:fldChar w:fldCharType="end"/>
      </w:r>
      <w:r w:rsidR="00690DC7">
        <w:t xml:space="preserve"> and psychological </w:t>
      </w:r>
      <w:r w:rsidR="00A21DF4">
        <w:t xml:space="preserve">evidence </w:t>
      </w:r>
      <w:r w:rsidR="00690DC7">
        <w:t xml:space="preserve">in Section </w:t>
      </w:r>
      <w:r w:rsidR="00690DC7">
        <w:fldChar w:fldCharType="begin"/>
      </w:r>
      <w:r w:rsidR="00690DC7">
        <w:instrText xml:space="preserve"> REF _Ref349132476 \r \h </w:instrText>
      </w:r>
      <w:r w:rsidR="00690DC7">
        <w:fldChar w:fldCharType="separate"/>
      </w:r>
      <w:r w:rsidR="00865753">
        <w:t>IV</w:t>
      </w:r>
      <w:r w:rsidR="00690DC7">
        <w:fldChar w:fldCharType="end"/>
      </w:r>
      <w:r w:rsidR="00690DC7">
        <w:t xml:space="preserve"> </w:t>
      </w:r>
      <w:r w:rsidR="00A21DF4">
        <w:t xml:space="preserve">suggests </w:t>
      </w:r>
      <w:r w:rsidR="00690DC7">
        <w:t xml:space="preserve">that </w:t>
      </w:r>
      <w:r w:rsidR="00A21DF4">
        <w:t>a good prediction</w:t>
      </w:r>
      <w:r w:rsidR="00690DC7">
        <w:t xml:space="preserve"> activity is </w:t>
      </w:r>
      <w:r w:rsidR="00A21DF4">
        <w:t xml:space="preserve">not so much a matter of which method you pick, but </w:t>
      </w:r>
      <w:r w:rsidR="00690DC7">
        <w:t xml:space="preserve">of ensuring that circumstances are right </w:t>
      </w:r>
      <w:r w:rsidR="00A21DF4">
        <w:t>for your chosen method to work.</w:t>
      </w:r>
    </w:p>
    <w:p w14:paraId="53395CAC" w14:textId="41A019F2" w:rsidR="00690DC7" w:rsidRDefault="00A21DF4" w:rsidP="00690DC7">
      <w:r>
        <w:t>Thus t</w:t>
      </w:r>
      <w:r w:rsidR="00690DC7">
        <w:t xml:space="preserve">he task of coming up with a philosophical theory of prediction </w:t>
      </w:r>
      <w:r>
        <w:t xml:space="preserve">is </w:t>
      </w:r>
      <w:r w:rsidR="00690DC7">
        <w:t xml:space="preserve">narrowed to the slightly less daunting task of coming up with an account of the rightness of circumstances for a predictive method to be employed. To make the task less daunting still, I want to draw an analogy between prediction and the standard realist picture of the way confirmation works for claims about </w:t>
      </w:r>
      <w:proofErr w:type="spellStart"/>
      <w:r w:rsidR="00690DC7">
        <w:t>unobservables</w:t>
      </w:r>
      <w:proofErr w:type="spellEnd"/>
      <w:r w:rsidR="00690DC7">
        <w:t xml:space="preserve">. </w:t>
      </w:r>
      <w:r>
        <w:t>(</w:t>
      </w:r>
      <w:r w:rsidR="00690DC7">
        <w:t xml:space="preserve">This analogy does not commit us to </w:t>
      </w:r>
      <w:r>
        <w:t xml:space="preserve">scientific </w:t>
      </w:r>
      <w:r w:rsidR="00690DC7">
        <w:t>realism</w:t>
      </w:r>
      <w:r>
        <w:t>, only to realism about the future, which I take to be acceptable to the empiricist and realist alike.)</w:t>
      </w:r>
      <w:r w:rsidR="00690DC7">
        <w:t xml:space="preserve"> The hope</w:t>
      </w:r>
      <w:r>
        <w:t xml:space="preserve"> </w:t>
      </w:r>
      <w:r w:rsidR="00690DC7">
        <w:t xml:space="preserve">is that the way realists think we can get knowledge of </w:t>
      </w:r>
      <w:proofErr w:type="spellStart"/>
      <w:r w:rsidR="00690DC7">
        <w:t>unobservables</w:t>
      </w:r>
      <w:proofErr w:type="spellEnd"/>
      <w:r w:rsidR="00690DC7">
        <w:t xml:space="preserve"> provides a good starting point for explaining how we might get knowledge of the future.</w:t>
      </w:r>
    </w:p>
    <w:p w14:paraId="7D518BB1" w14:textId="5D2A27E3" w:rsidR="000D0BC8" w:rsidRDefault="00690DC7" w:rsidP="00690DC7">
      <w:r>
        <w:t>Suppose a scientist entertains some claim T whose truth is not readily observable (whatever that exactly means)</w:t>
      </w:r>
      <w:proofErr w:type="gramStart"/>
      <w:r>
        <w:t>.</w:t>
      </w:r>
      <w:proofErr w:type="gramEnd"/>
      <w:r>
        <w:t xml:space="preserve"> T might be a definite hypothesis, for example, that there are subatomic particles, known as electrons. These particles cannot be seen, nor detected with any existing instrument. How does the scientist test this theory and gather confirmatory or </w:t>
      </w:r>
      <w:proofErr w:type="spellStart"/>
      <w:r>
        <w:t>d</w:t>
      </w:r>
      <w:r w:rsidR="000D0BC8">
        <w:t>isconfirmatory</w:t>
      </w:r>
      <w:proofErr w:type="spellEnd"/>
      <w:r w:rsidR="000D0BC8">
        <w:t xml:space="preserve"> evidence? On a standard </w:t>
      </w:r>
      <w:r>
        <w:t xml:space="preserve">realist view, she works out what observable differences there are between her hypothesis and various incompatible alternative hypotheses, and then she makes observations concerning </w:t>
      </w:r>
      <w:r>
        <w:lastRenderedPageBreak/>
        <w:t>those differences. Her theory is confirmed if the observable differences are in favour of her theo</w:t>
      </w:r>
      <w:r w:rsidR="000D0BC8">
        <w:t>ry, and disconfirmed otherwise.</w:t>
      </w:r>
    </w:p>
    <w:p w14:paraId="07A5EB89" w14:textId="742F8134" w:rsidR="00690DC7" w:rsidRPr="00690DC7" w:rsidRDefault="00690DC7" w:rsidP="00690DC7">
      <w:r>
        <w:t>In this example, one aspect of electron theory is that</w:t>
      </w:r>
      <w:r w:rsidR="000D0BC8">
        <w:t xml:space="preserve"> charge</w:t>
      </w:r>
      <w:r>
        <w:t xml:space="preserve"> is quantized, arising (on electron theory) from the distribution of charged subatomic particles. If it is possible to measure the charge on an electron, then one will have evidence that tells between the hypothesis that charge is quantized and that it is continuous, and so between the hypothesis that there are subatomic particles, including electrons, and that there are not.</w:t>
      </w:r>
      <w:r w:rsidR="000D0BC8">
        <w:t xml:space="preserve"> </w:t>
      </w:r>
      <w:r>
        <w:t>Thus when Robert Millikan experimentally measured the charge on the electron, he provided evidence that simultaneously confirmed one hypothesis an</w:t>
      </w:r>
      <w:r w:rsidR="000D0BC8">
        <w:t xml:space="preserve">d disconfirmed another. Millikan’s </w:t>
      </w:r>
      <w:r>
        <w:t xml:space="preserve">experiment would have been of much less </w:t>
      </w:r>
      <w:r w:rsidR="000D0BC8">
        <w:t xml:space="preserve">interest </w:t>
      </w:r>
      <w:r>
        <w:t xml:space="preserve">if its results had been equally compatible with either theory. </w:t>
      </w:r>
    </w:p>
    <w:p w14:paraId="0349A8A3" w14:textId="32AE777A" w:rsidR="00690DC7" w:rsidRDefault="00FB7091" w:rsidP="00690DC7">
      <w:r>
        <w:t xml:space="preserve">Let me stress two features of this picture. First, </w:t>
      </w:r>
      <w:r w:rsidR="00690DC7">
        <w:t xml:space="preserve">not just </w:t>
      </w:r>
      <w:r w:rsidR="00690DC7">
        <w:rPr>
          <w:i/>
        </w:rPr>
        <w:t>any</w:t>
      </w:r>
      <w:r w:rsidR="00690DC7">
        <w:t xml:space="preserve"> incompatible </w:t>
      </w:r>
      <w:r w:rsidR="009E47A0">
        <w:t>hypothesis</w:t>
      </w:r>
      <w:r w:rsidR="00690DC7">
        <w:t xml:space="preserve"> is countenanced as providing a useful </w:t>
      </w:r>
      <w:r w:rsidR="009E47A0">
        <w:t>foil for the theory under test</w:t>
      </w:r>
      <w:r w:rsidR="00690DC7">
        <w:t xml:space="preserve">. The </w:t>
      </w:r>
      <w:r w:rsidR="009E47A0">
        <w:t>foil</w:t>
      </w:r>
      <w:r w:rsidR="00690DC7">
        <w:t xml:space="preserve"> must have something going for it, in order for beating that hypothesis to count in favour of the theoretical claim in question. </w:t>
      </w:r>
      <w:r w:rsidR="000D0BC8">
        <w:t>One does not (as i</w:t>
      </w:r>
      <w:r w:rsidR="009F14E0">
        <w:t>n a cartoon I have seen</w:t>
      </w:r>
      <w:r w:rsidR="000D0BC8">
        <w:t>) strap puppies to missiles on the basis that good science requires testing our assumptions about the likely outcome. This is not because we have a wealth of data about puppies that have been fired off with missiles in the past; it is rather because there is no serious rival to the obvious account of their fate.</w:t>
      </w:r>
      <w:r w:rsidR="00690DC7">
        <w:t xml:space="preserve"> Impressive confirmatory evidence comes from tests that distinguish a theory from </w:t>
      </w:r>
      <w:r w:rsidR="00690DC7">
        <w:rPr>
          <w:i/>
        </w:rPr>
        <w:t>serious</w:t>
      </w:r>
      <w:r w:rsidR="00690DC7">
        <w:t xml:space="preserve"> rivals, not from just any contrary empirical claim.</w:t>
      </w:r>
    </w:p>
    <w:p w14:paraId="493060E7" w14:textId="637F4B25" w:rsidR="00FB7091" w:rsidRDefault="00FB7091" w:rsidP="00FB7091">
      <w:r>
        <w:t xml:space="preserve">Second, </w:t>
      </w:r>
      <w:r w:rsidR="00160B04">
        <w:rPr>
          <w:i/>
        </w:rPr>
        <w:t>contrasts</w:t>
      </w:r>
      <w:r w:rsidR="00160B04">
        <w:t xml:space="preserve"> play a</w:t>
      </w:r>
      <w:r w:rsidR="00C116F2">
        <w:t xml:space="preserve">n important role. </w:t>
      </w:r>
      <w:r>
        <w:t xml:space="preserve"> T</w:t>
      </w:r>
      <w:r w:rsidR="00FB2535">
        <w:t xml:space="preserve">his way </w:t>
      </w:r>
      <w:r>
        <w:t xml:space="preserve">(and maybe there are others) of obtaining evidence about </w:t>
      </w:r>
      <w:proofErr w:type="spellStart"/>
      <w:r>
        <w:t>unobservables</w:t>
      </w:r>
      <w:proofErr w:type="spellEnd"/>
      <w:r>
        <w:t xml:space="preserve"> </w:t>
      </w:r>
      <w:r w:rsidR="00FB2535">
        <w:t xml:space="preserve">seems to depend minimally upon identifying </w:t>
      </w:r>
      <w:r w:rsidR="00FB2535">
        <w:rPr>
          <w:i/>
        </w:rPr>
        <w:t>differences</w:t>
      </w:r>
      <w:r w:rsidR="00FB2535">
        <w:t xml:space="preserve"> between how things would be if the theory is true, and how things would be if the theory were false. </w:t>
      </w:r>
      <w:r>
        <w:t xml:space="preserve">Note in particular that </w:t>
      </w:r>
      <w:r w:rsidR="00FB2535">
        <w:t xml:space="preserve">“contrast” </w:t>
      </w:r>
      <w:r>
        <w:t xml:space="preserve">does not just refer to the </w:t>
      </w:r>
      <w:r>
        <w:lastRenderedPageBreak/>
        <w:t>negation</w:t>
      </w:r>
      <w:r w:rsidR="00E6016A">
        <w:t xml:space="preserve"> of the hypothesis under test. </w:t>
      </w:r>
      <w:r w:rsidR="00B523D6">
        <w:t>Substantive</w:t>
      </w:r>
      <w:r>
        <w:t xml:space="preserve"> contrasts, </w:t>
      </w:r>
      <w:r w:rsidR="00B523D6">
        <w:t>i.e. contrasts between T and somethin</w:t>
      </w:r>
      <w:r>
        <w:t>g logically stronger than not-</w:t>
      </w:r>
      <w:proofErr w:type="gramStart"/>
      <w:r>
        <w:t>T,</w:t>
      </w:r>
      <w:proofErr w:type="gramEnd"/>
      <w:r>
        <w:t xml:space="preserve"> are important because the mere negation of a hypothesis about </w:t>
      </w:r>
      <w:proofErr w:type="spellStart"/>
      <w:r>
        <w:t>unobservables</w:t>
      </w:r>
      <w:proofErr w:type="spellEnd"/>
      <w:r>
        <w:t xml:space="preserve"> does not necessarily imply any observable difference. Denying that there electrons does not, by itself, yield the consequence that charge is not quantized. To generate a rival observable claim, one needs a rival theory that is logically strong enough for the job. Merely negating a theory about </w:t>
      </w:r>
      <w:proofErr w:type="spellStart"/>
      <w:r>
        <w:t>unobservables</w:t>
      </w:r>
      <w:proofErr w:type="spellEnd"/>
      <w:r>
        <w:t xml:space="preserve"> does not usually yield any observable consequences at all. </w:t>
      </w:r>
    </w:p>
    <w:p w14:paraId="54C26116" w14:textId="6139D41D" w:rsidR="00FB7091" w:rsidRDefault="00E6016A" w:rsidP="00FB7091">
      <w:r>
        <w:t xml:space="preserve">The two points are connected because the negation of a serious hypothesis is not necessarily, and indeed not usually, a serious rival. We don’t strap puppies to missiles to test the hypothesis that they will be blown to smithereens against its mere negation, since the mere negation is not a serious rival hypothesis, even though the hypothesis it negates is highly credible. The point is reminiscent of Quine’s claim that the complement of a </w:t>
      </w:r>
      <w:proofErr w:type="spellStart"/>
      <w:r>
        <w:t>projectible</w:t>
      </w:r>
      <w:proofErr w:type="spellEnd"/>
      <w:r>
        <w:t xml:space="preserve"> predicate is not necessarily </w:t>
      </w:r>
      <w:proofErr w:type="spellStart"/>
      <w:r>
        <w:t>projectible</w:t>
      </w:r>
      <w:proofErr w:type="spellEnd"/>
      <w:r>
        <w:t xml:space="preserve"> </w:t>
      </w:r>
      <w:r>
        <w:fldChar w:fldCharType="begin"/>
      </w:r>
      <w:r>
        <w:instrText xml:space="preserve"> ADDIN ZOTERO_ITEM CSL_CITATION {"citationID":"PsDUeVbR","properties":{"formattedCitation":"(Quine 1969, 115)","plainCitation":"(Quine 1969, 115)"},"citationItems":[{"id":129,"uris":["http://zotero.org/users/270153/items/9T3WBPNX"],"uri":["http://zotero.org/users/270153/items/9T3WBPNX"],"itemData":{"id":129,"type":"chapter","title":"Natural Kinds","container-title":"Ontological Relativity and Other Essays","publisher":"Columbia University Press","publisher-place":"New York","page":"114―138","event-place":"New York","author":[{"family":"Quine","given":"W. V.O"}],"issued":{"date-parts":[["1969"]]}},"locator":"115"}],"schema":"https://github.com/citation-style-language/schema/raw/master/csl-citation.json"} </w:instrText>
      </w:r>
      <w:r>
        <w:fldChar w:fldCharType="separate"/>
      </w:r>
      <w:r w:rsidRPr="00E6016A">
        <w:rPr>
          <w:rFonts w:ascii="Cambria" w:hAnsi="Cambria"/>
        </w:rPr>
        <w:t>(Quine 1969, 115)</w:t>
      </w:r>
      <w:r>
        <w:fldChar w:fldCharType="end"/>
      </w:r>
      <w:r>
        <w:t>.</w:t>
      </w:r>
    </w:p>
    <w:p w14:paraId="0212AE56" w14:textId="77777777" w:rsidR="00535FFF" w:rsidRDefault="00FB7091" w:rsidP="00FB7091">
      <w:r>
        <w:t xml:space="preserve">I want to propose a theory of good prediction activity that is analogous to the manner in which claims about </w:t>
      </w:r>
      <w:proofErr w:type="spellStart"/>
      <w:r>
        <w:t>unobservables</w:t>
      </w:r>
      <w:proofErr w:type="spellEnd"/>
      <w:r>
        <w:t xml:space="preserve"> are, in the realist’s eyes, confirmed by observations. </w:t>
      </w:r>
    </w:p>
    <w:p w14:paraId="07ABE6BE" w14:textId="23F28328" w:rsidR="00FB7091" w:rsidRDefault="00FB7091" w:rsidP="00535FFF">
      <w:pPr>
        <w:pStyle w:val="Quote"/>
      </w:pPr>
      <w:r>
        <w:t xml:space="preserve">A good prediction activity </w:t>
      </w:r>
      <w:r w:rsidR="00535FFF">
        <w:t>is one that (a) identifies and (b) verifies currently observable consequences of the prediction claim it supports</w:t>
      </w:r>
      <w:r>
        <w:t>.</w:t>
      </w:r>
    </w:p>
    <w:p w14:paraId="57B55DF6" w14:textId="6362ABFA" w:rsidR="00FB7091" w:rsidRDefault="00535FFF" w:rsidP="00FB7091">
      <w:r>
        <w:t xml:space="preserve">“Currently observable consequences” satisfy two conditions. </w:t>
      </w:r>
      <w:r w:rsidR="00AC3BDF">
        <w:t xml:space="preserve">First, </w:t>
      </w:r>
      <w:r>
        <w:t xml:space="preserve">the predictor </w:t>
      </w:r>
      <w:r w:rsidR="00AC3BDF">
        <w:t>is able to observe them before the date that the prediction concerns.</w:t>
      </w:r>
      <w:r w:rsidR="00054EB7">
        <w:t xml:space="preserve"> They are analogous to the “observable consequences” of unobservable claims, although clearly any causal implication in “consequence” will need to be rethought for the case of </w:t>
      </w:r>
      <w:r w:rsidR="00136C47">
        <w:t>prediction, where the matters that one infers lie in the future of one’s evidence</w:t>
      </w:r>
      <w:r w:rsidR="00FB7091">
        <w:t>. We will discuss this shortly.</w:t>
      </w:r>
    </w:p>
    <w:p w14:paraId="7647B4C3" w14:textId="5B6C8EFA" w:rsidR="00160B04" w:rsidRDefault="00AC3BDF" w:rsidP="00FB7091">
      <w:r>
        <w:lastRenderedPageBreak/>
        <w:t xml:space="preserve">Second, </w:t>
      </w:r>
      <w:r w:rsidR="00136C47">
        <w:t>currently observable consequences</w:t>
      </w:r>
      <w:r w:rsidR="00535FFF">
        <w:t xml:space="preserve"> </w:t>
      </w:r>
      <w:r w:rsidR="00136C47">
        <w:t>of the truth of the prediction are also differences from currently observable consequences of some foil that is contrary to the prediction. The two remarks concerning contrastive inference apply as follows. First, defeating the foil confers support on the prediction only to the extent that the foil enjoys support of its own. Second, some</w:t>
      </w:r>
      <w:r w:rsidR="00535FFF">
        <w:t xml:space="preserve"> substantive,</w:t>
      </w:r>
      <w:r w:rsidR="00136C47">
        <w:t xml:space="preserve"> </w:t>
      </w:r>
      <w:proofErr w:type="spellStart"/>
      <w:r w:rsidR="00136C47">
        <w:t>contentful</w:t>
      </w:r>
      <w:proofErr w:type="spellEnd"/>
      <w:r w:rsidR="00136C47">
        <w:t xml:space="preserve"> foil, and not merely the denial of the prediction claim, is necessary in order to be able to generate the requisite currently observable consequences against which to test the prediction claim.</w:t>
      </w:r>
    </w:p>
    <w:p w14:paraId="37EE9447" w14:textId="77777777" w:rsidR="006A7AC5" w:rsidRDefault="006A7AC5" w:rsidP="00DA3D41">
      <w:r>
        <w:t xml:space="preserve">Confusion might arise at this stage because the analogy with theoretical claims about </w:t>
      </w:r>
      <w:proofErr w:type="spellStart"/>
      <w:r>
        <w:t>unobservables</w:t>
      </w:r>
      <w:proofErr w:type="spellEnd"/>
      <w:r>
        <w:t xml:space="preserve"> suggests that it is the prediction </w:t>
      </w:r>
      <w:r>
        <w:rPr>
          <w:i/>
        </w:rPr>
        <w:t>claim</w:t>
      </w:r>
      <w:r>
        <w:t xml:space="preserve"> that is being tested, whereas I have so far talked about checking that circumstances are right for the </w:t>
      </w:r>
      <w:r>
        <w:rPr>
          <w:i/>
        </w:rPr>
        <w:t>method</w:t>
      </w:r>
      <w:r>
        <w:t xml:space="preserve"> that was employed to produce the prediction.</w:t>
      </w:r>
      <w:r w:rsidR="00681F76">
        <w:t xml:space="preserve"> The confusion is resolved by </w:t>
      </w:r>
      <w:r w:rsidR="00063D8F">
        <w:t>seeing</w:t>
      </w:r>
      <w:r w:rsidR="00681F76">
        <w:t xml:space="preserve"> inappropriate circumstances for a given method as </w:t>
      </w:r>
      <w:r w:rsidR="00681F76" w:rsidRPr="00535FFF">
        <w:rPr>
          <w:i/>
        </w:rPr>
        <w:t>one way</w:t>
      </w:r>
      <w:r w:rsidR="00681F76">
        <w:t xml:space="preserve"> that a predictive claim might be cast into doubt. The truth of the prediction claim is the ultimate goal, so it makes sense to focus on </w:t>
      </w:r>
      <w:r w:rsidR="00063D8F">
        <w:t xml:space="preserve">testing </w:t>
      </w:r>
      <w:r w:rsidR="00681F76">
        <w:t>the claim</w:t>
      </w:r>
      <w:r w:rsidR="00063D8F">
        <w:t xml:space="preserve"> against rival ways things might go</w:t>
      </w:r>
      <w:r w:rsidR="00681F76">
        <w:t>. In my critique, I have focused in particular on the failure of putative method</w:t>
      </w:r>
      <w:r w:rsidR="00063D8F">
        <w:t>s for arriving at a prediction, because I have been concerned to refute the idea that employing any of these methods is sufficient for good prediction. But there is no reason to confine our assessment of prediction claims to an assessment of the methods used to produce them.</w:t>
      </w:r>
    </w:p>
    <w:p w14:paraId="2CC10223" w14:textId="77777777" w:rsidR="00596684" w:rsidRDefault="00596684" w:rsidP="00596684">
      <w:r>
        <w:t xml:space="preserve">The analogy between predictions and confirmation of theories about </w:t>
      </w:r>
      <w:proofErr w:type="spellStart"/>
      <w:r>
        <w:t>unobservables</w:t>
      </w:r>
      <w:proofErr w:type="spellEnd"/>
      <w:r>
        <w:t xml:space="preserve"> gets us only so far. It breaks down when we consider the causal structures underlying this kind of inference in each case. The realist picture of theoretical confirmation is often cast as inference to the best explanation. The theory T explains experimental results better than rival theories, and, according to the proponent of inference to the best explanation, is therefore not merely preferable to those other theories, but likely to </w:t>
      </w:r>
      <w:r>
        <w:lastRenderedPageBreak/>
        <w:t xml:space="preserve">be true, if the rival theories are good enough </w:t>
      </w:r>
      <w:r>
        <w:fldChar w:fldCharType="begin"/>
      </w:r>
      <w:r w:rsidR="002937C8">
        <w:instrText xml:space="preserve"> ADDIN ZOTERO_ITEM CSL_CITATION {"citationID":"dNbU3Uue","properties":{"formattedCitation":"(Lipton 2004 esp. Chs 3-5)","plainCitation":"(Lipton 2004 esp. Chs 3-5)"},"citationItems":[{"id":352,"uris":["http://zotero.org/users/270153/items/RX33XZQR"],"uri":["http://zotero.org/users/270153/items/RX33XZQR"],"itemData":{"id":352,"type":"book","title":"Inference to the Best Explanation","publisher":"Routledge","publisher-place":"London and New York","edition":"Second edition","event-place":"London and New York","author":[{"family":"Lipton","given":"Peter"}],"issued":{"date-parts":[["2004"]]}},"suffix":"esp. Chs 3-5"}],"schema":"https://github.com/citation-style-language/schema/raw/master/csl-citation.json"} </w:instrText>
      </w:r>
      <w:r>
        <w:fldChar w:fldCharType="separate"/>
      </w:r>
      <w:r w:rsidRPr="00CB2F2F">
        <w:rPr>
          <w:rFonts w:ascii="Cambria" w:hAnsi="Cambria"/>
        </w:rPr>
        <w:t>(Lipton 2004 esp. Chs 3-5)</w:t>
      </w:r>
      <w:r>
        <w:fldChar w:fldCharType="end"/>
      </w:r>
      <w:r>
        <w:t>. But future events cannot explain past ones, so we cannot cast predictive inference as inference to the best explanation, without further elaboration.</w:t>
      </w:r>
    </w:p>
    <w:p w14:paraId="037BCC7D" w14:textId="7AF0677C" w:rsidR="00F215BA" w:rsidRDefault="00596684" w:rsidP="00DA3D41">
      <w:r>
        <w:t xml:space="preserve">In the case of prediction, explanation is still involved, but the </w:t>
      </w:r>
      <w:proofErr w:type="spellStart"/>
      <w:r>
        <w:t>explanans</w:t>
      </w:r>
      <w:proofErr w:type="spellEnd"/>
      <w:r>
        <w:t xml:space="preserve"> is not the prediction claim. On the model I have sketched, the business of making a prediction good is one of explaining why it </w:t>
      </w:r>
      <w:r>
        <w:rPr>
          <w:i/>
        </w:rPr>
        <w:t>rather than alternatives</w:t>
      </w:r>
      <w:r>
        <w:t xml:space="preserve"> is true. </w:t>
      </w:r>
      <w:r w:rsidR="00E6016A">
        <w:t xml:space="preserve">The alternatives are those predictive claims entailing different currently observable consequences. In verifying the currently observable consequences, one simultaneously rules out these rival theories that contradict the prediction claim you are supporting. </w:t>
      </w:r>
      <w:r w:rsidR="00590E77">
        <w:t xml:space="preserve"> You are</w:t>
      </w:r>
      <w:r>
        <w:t xml:space="preserve"> thus giving causal differences between the situation that will obtain if the prediction is true, and that which will obtain if various alternatives are true. In other words, </w:t>
      </w:r>
      <w:r w:rsidR="00590E77">
        <w:t>you are</w:t>
      </w:r>
      <w:r>
        <w:t xml:space="preserve"> supplying a contrastive causal explanation of the contrast between the event predicted and some foil.</w:t>
      </w:r>
    </w:p>
    <w:p w14:paraId="3F608DBC" w14:textId="3A218DD0" w:rsidR="00596684" w:rsidRDefault="00596684" w:rsidP="00DA3D41">
      <w:r>
        <w:t>This</w:t>
      </w:r>
      <w:r w:rsidR="007E6395">
        <w:t xml:space="preserve"> model resolves </w:t>
      </w:r>
      <w:r w:rsidR="00535FFF">
        <w:t>a</w:t>
      </w:r>
      <w:r w:rsidR="007E6395">
        <w:t xml:space="preserve"> longstanding confusion about the relation between prediction and explanation. On the one hand, there clearly seems to be a link. Douglas </w:t>
      </w:r>
      <w:r w:rsidR="00535FFF">
        <w:t>argues</w:t>
      </w:r>
      <w:r w:rsidR="007E6395">
        <w:t xml:space="preserve"> that explanation provides cognitive tools for making predictions</w:t>
      </w:r>
      <w:r w:rsidR="00535FFF">
        <w:t xml:space="preserve"> </w:t>
      </w:r>
      <w:r w:rsidR="00535FFF">
        <w:fldChar w:fldCharType="begin"/>
      </w:r>
      <w:r w:rsidR="00535FFF">
        <w:instrText xml:space="preserve"> ADDIN ZOTERO_ITEM CSL_CITATION {"citationID":"emwc1XiB","properties":{"formattedCitation":"(Douglas 2009)","plainCitation":"(Douglas 2009)"},"citationItems":[{"id":550,"uris":["http://zotero.org/users/270153/items/TME7K9KM"],"uri":["http://zotero.org/users/270153/items/TME7K9KM"],"itemData":{"id":550,"type":"article-journal","title":"Reintroducing Prediction to Explanation","container-title":"Philosophy of Science","page":"444-463","volume":"76","author":[{"family":"Douglas","given":"Heather"}],"issued":{"date-parts":[["2009"]]}}}],"schema":"https://github.com/citation-style-language/schema/raw/master/csl-citation.json"} </w:instrText>
      </w:r>
      <w:r w:rsidR="00535FFF">
        <w:fldChar w:fldCharType="separate"/>
      </w:r>
      <w:r w:rsidR="00535FFF" w:rsidRPr="00535FFF">
        <w:rPr>
          <w:rFonts w:ascii="Cambria" w:hAnsi="Cambria"/>
        </w:rPr>
        <w:t>(Douglas 2009)</w:t>
      </w:r>
      <w:r w:rsidR="00535FFF">
        <w:fldChar w:fldCharType="end"/>
      </w:r>
      <w:r w:rsidR="007E6395">
        <w:t xml:space="preserve">. </w:t>
      </w:r>
      <w:r w:rsidR="00535FFF">
        <w:t>The theory proposed here</w:t>
      </w:r>
      <w:r w:rsidR="007E6395">
        <w:t xml:space="preserve"> is consonant with that view and puts some flesh on the bones, by showing how explanation is involved in securing the warrant for a prediction. On the other hand, counterexamples to the claim that every prediction is an explanation abound. </w:t>
      </w:r>
      <w:r w:rsidR="000F2B5B">
        <w:t>Some</w:t>
      </w:r>
      <w:r w:rsidR="007E6395">
        <w:t xml:space="preserve"> of these are handled by the distinction between prediction claims and prediction activities. Merely making a claim about the future clearly does not require explanation. </w:t>
      </w:r>
      <w:r w:rsidR="000F2B5B">
        <w:t xml:space="preserve">Others are handled by the notion of </w:t>
      </w:r>
      <w:r w:rsidR="000F2B5B">
        <w:rPr>
          <w:i/>
        </w:rPr>
        <w:t>good</w:t>
      </w:r>
      <w:r w:rsidR="000F2B5B">
        <w:t xml:space="preserve"> prediction. A prediction activity may not involve explanation, but on this model, a </w:t>
      </w:r>
      <w:r w:rsidR="000F2B5B">
        <w:rPr>
          <w:i/>
        </w:rPr>
        <w:t>good</w:t>
      </w:r>
      <w:r w:rsidR="000F2B5B">
        <w:t xml:space="preserve"> predictive activity will include a </w:t>
      </w:r>
      <w:r w:rsidR="000F2B5B">
        <w:lastRenderedPageBreak/>
        <w:t>series of contrastive explanations as to why the prediction claim, and not any plausible contrary, is true.</w:t>
      </w:r>
    </w:p>
    <w:p w14:paraId="6D6F07BC" w14:textId="682DF326" w:rsidR="00897827" w:rsidRDefault="00897827" w:rsidP="00DA3D41">
      <w:pPr>
        <w:pStyle w:val="Heading1"/>
      </w:pPr>
      <w:r>
        <w:t>Conclusion</w:t>
      </w:r>
    </w:p>
    <w:p w14:paraId="6EF183E4" w14:textId="5B545443" w:rsidR="00C1302F" w:rsidRDefault="00C1302F" w:rsidP="00DA3D41">
      <w:r>
        <w:t>In the context of forecasting, a good prediction claim is a true claim about the future based on a good prediction activity, and a good prediction activity is one which identifies and verifies observable consequences of the prediction claim it supports. That is the full statement of the theory of prediction that we have arrived at, and of the answer to the title question of this paper.</w:t>
      </w:r>
    </w:p>
    <w:p w14:paraId="4F313133" w14:textId="7353384D" w:rsidR="00897827" w:rsidRPr="00897827" w:rsidRDefault="007C2742" w:rsidP="00535FFF">
      <w:r>
        <w:t>There remain a number of loose ends and unanswered questions. First, I have not attempted to demarcate “s</w:t>
      </w:r>
      <w:r w:rsidR="00727097">
        <w:t>cientific prediction</w:t>
      </w:r>
      <w:r>
        <w:t xml:space="preserve">”, in the manner that </w:t>
      </w:r>
      <w:proofErr w:type="spellStart"/>
      <w:r>
        <w:t>Hempel</w:t>
      </w:r>
      <w:proofErr w:type="spellEnd"/>
      <w:r>
        <w:t xml:space="preserve"> sought to demarcate scientific explanation</w:t>
      </w:r>
      <w:r w:rsidR="00535FFF">
        <w:t xml:space="preserve">. </w:t>
      </w:r>
      <w:r>
        <w:t xml:space="preserve">Second, although I have sought to connect good prediction with other epistemic exercises, and with forms of inference that are thought by some to yield knowledge (I am referring to the analogy with confirmation of claims about </w:t>
      </w:r>
      <w:proofErr w:type="spellStart"/>
      <w:r>
        <w:t>unobservables</w:t>
      </w:r>
      <w:proofErr w:type="spellEnd"/>
      <w:r>
        <w:t xml:space="preserve">), I have not squarely addressed the question whether predictions are ever knowledge of the future. Third, I have not tried to decide whether only an </w:t>
      </w:r>
      <w:proofErr w:type="spellStart"/>
      <w:r>
        <w:t>internalist</w:t>
      </w:r>
      <w:proofErr w:type="spellEnd"/>
      <w:r>
        <w:t xml:space="preserve"> account can </w:t>
      </w:r>
      <w:r w:rsidR="004432C5">
        <w:t>provide a model of good prediction, or whether the references to checking, explanation, and so forth can be schematized in an externalist fashion. My hunch is that it can’t be done: that good prediction, as I have cha</w:t>
      </w:r>
      <w:r w:rsidR="009F14E0">
        <w:t xml:space="preserve">racterised it, is necessarily an active </w:t>
      </w:r>
      <w:r w:rsidR="004432C5">
        <w:t>intellectual exercise. But I have not argued this case.</w:t>
      </w:r>
    </w:p>
    <w:p w14:paraId="2D395675" w14:textId="77777777" w:rsidR="00E93C6E" w:rsidRDefault="00E93C6E" w:rsidP="00DA3D41">
      <w:pPr>
        <w:pStyle w:val="Heading1"/>
        <w:numPr>
          <w:ilvl w:val="0"/>
          <w:numId w:val="0"/>
        </w:numPr>
      </w:pPr>
      <w:r>
        <w:t>References</w:t>
      </w:r>
    </w:p>
    <w:p w14:paraId="58BD4CF5" w14:textId="77777777" w:rsidR="00E6016A" w:rsidRPr="00E6016A" w:rsidRDefault="0092400F" w:rsidP="00E6016A">
      <w:pPr>
        <w:pStyle w:val="Bibliography"/>
        <w:rPr>
          <w:rFonts w:ascii="Cambria" w:hAnsi="Cambria"/>
        </w:rPr>
      </w:pPr>
      <w:r>
        <w:fldChar w:fldCharType="begin"/>
      </w:r>
      <w:r w:rsidR="006A43A4">
        <w:instrText xml:space="preserve"> ADDIN ZOTERO_BIBL {"custom":[]} CSL_BIBLIOGRAPHY </w:instrText>
      </w:r>
      <w:r>
        <w:fldChar w:fldCharType="separate"/>
      </w:r>
      <w:r w:rsidR="00E6016A" w:rsidRPr="00E6016A">
        <w:rPr>
          <w:rFonts w:ascii="Cambria" w:hAnsi="Cambria"/>
        </w:rPr>
        <w:t xml:space="preserve">Anscombe, G. E.M. 1971. </w:t>
      </w:r>
      <w:r w:rsidR="00E6016A" w:rsidRPr="00E6016A">
        <w:rPr>
          <w:rFonts w:ascii="Cambria" w:hAnsi="Cambria"/>
          <w:i/>
          <w:iCs/>
        </w:rPr>
        <w:t>Causality and Determination</w:t>
      </w:r>
      <w:r w:rsidR="00E6016A" w:rsidRPr="00E6016A">
        <w:rPr>
          <w:rFonts w:ascii="Cambria" w:hAnsi="Cambria"/>
        </w:rPr>
        <w:t>. Cambridge: Cambridge University Press.</w:t>
      </w:r>
    </w:p>
    <w:p w14:paraId="713E4498" w14:textId="77777777" w:rsidR="00E6016A" w:rsidRPr="00E6016A" w:rsidRDefault="00E6016A" w:rsidP="00E6016A">
      <w:pPr>
        <w:pStyle w:val="Bibliography"/>
        <w:rPr>
          <w:rFonts w:ascii="Cambria" w:hAnsi="Cambria"/>
        </w:rPr>
      </w:pPr>
      <w:r w:rsidRPr="00E6016A">
        <w:rPr>
          <w:rFonts w:ascii="Cambria" w:hAnsi="Cambria"/>
        </w:rPr>
        <w:lastRenderedPageBreak/>
        <w:t xml:space="preserve">Berlin, Isaiah. 2013. </w:t>
      </w:r>
      <w:r w:rsidRPr="00E6016A">
        <w:rPr>
          <w:rFonts w:ascii="Cambria" w:hAnsi="Cambria"/>
          <w:i/>
          <w:iCs/>
        </w:rPr>
        <w:t>The Hedgehog and the Fox: An Essay on Tolstoy’s View of History</w:t>
      </w:r>
      <w:r w:rsidRPr="00E6016A">
        <w:rPr>
          <w:rFonts w:ascii="Cambria" w:hAnsi="Cambria"/>
        </w:rPr>
        <w:t>. Edited by Henry Hardy. 2nd ed. Princeton University Press.</w:t>
      </w:r>
    </w:p>
    <w:p w14:paraId="7CDA6324" w14:textId="77777777" w:rsidR="00E6016A" w:rsidRPr="00E6016A" w:rsidRDefault="00E6016A" w:rsidP="00E6016A">
      <w:pPr>
        <w:pStyle w:val="Bibliography"/>
        <w:rPr>
          <w:rFonts w:ascii="Cambria" w:hAnsi="Cambria"/>
        </w:rPr>
      </w:pPr>
      <w:r w:rsidRPr="00E6016A">
        <w:rPr>
          <w:rFonts w:ascii="Cambria" w:hAnsi="Cambria"/>
        </w:rPr>
        <w:t xml:space="preserve">Broadbent, Alex. 2013. </w:t>
      </w:r>
      <w:r w:rsidRPr="00E6016A">
        <w:rPr>
          <w:rFonts w:ascii="Cambria" w:hAnsi="Cambria"/>
          <w:i/>
          <w:iCs/>
        </w:rPr>
        <w:t>Philosophy of Epidemiology</w:t>
      </w:r>
      <w:r w:rsidRPr="00E6016A">
        <w:rPr>
          <w:rFonts w:ascii="Cambria" w:hAnsi="Cambria"/>
        </w:rPr>
        <w:t>. New Directions in the Philosophy of Science. London and New York: Palgrave Macmillan.</w:t>
      </w:r>
    </w:p>
    <w:p w14:paraId="611A59E2" w14:textId="77777777" w:rsidR="00E6016A" w:rsidRPr="00E6016A" w:rsidRDefault="00E6016A" w:rsidP="00E6016A">
      <w:pPr>
        <w:pStyle w:val="Bibliography"/>
        <w:rPr>
          <w:rFonts w:ascii="Cambria" w:hAnsi="Cambria"/>
        </w:rPr>
      </w:pPr>
      <w:r w:rsidRPr="00E6016A">
        <w:rPr>
          <w:rFonts w:ascii="Cambria" w:hAnsi="Cambria"/>
        </w:rPr>
        <w:t xml:space="preserve">Canfield, John, and Keith Lehrer. 1961. “A Note on Prediction and Deduction.” </w:t>
      </w:r>
      <w:r w:rsidRPr="00E6016A">
        <w:rPr>
          <w:rFonts w:ascii="Cambria" w:hAnsi="Cambria"/>
          <w:i/>
          <w:iCs/>
        </w:rPr>
        <w:t>Philosophy of Science</w:t>
      </w:r>
      <w:r w:rsidRPr="00E6016A">
        <w:rPr>
          <w:rFonts w:ascii="Cambria" w:hAnsi="Cambria"/>
        </w:rPr>
        <w:t xml:space="preserve"> 28 (2): 204–208.</w:t>
      </w:r>
    </w:p>
    <w:p w14:paraId="4AF70C0B" w14:textId="77777777" w:rsidR="00E6016A" w:rsidRPr="00E6016A" w:rsidRDefault="00E6016A" w:rsidP="00E6016A">
      <w:pPr>
        <w:pStyle w:val="Bibliography"/>
        <w:rPr>
          <w:rFonts w:ascii="Cambria" w:hAnsi="Cambria"/>
        </w:rPr>
      </w:pPr>
      <w:r w:rsidRPr="00E6016A">
        <w:rPr>
          <w:rFonts w:ascii="Cambria" w:hAnsi="Cambria"/>
        </w:rPr>
        <w:t xml:space="preserve">Cartwright, Nancy. 2010. “Will This Policy Work for You? Predicting Effectiveness Better: How Philosophy Helps.” In </w:t>
      </w:r>
      <w:r w:rsidRPr="00E6016A">
        <w:rPr>
          <w:rFonts w:ascii="Cambria" w:hAnsi="Cambria"/>
          <w:i/>
          <w:iCs/>
        </w:rPr>
        <w:t>PSA Presidential Address</w:t>
      </w:r>
      <w:r w:rsidRPr="00E6016A">
        <w:rPr>
          <w:rFonts w:ascii="Cambria" w:hAnsi="Cambria"/>
        </w:rPr>
        <w:t>. http://personal.lse.ac.uk/cartwrig/PSA%20Address/PSA%202%20Nov%200900.pdf.</w:t>
      </w:r>
    </w:p>
    <w:p w14:paraId="0295CCC7" w14:textId="77777777" w:rsidR="00E6016A" w:rsidRPr="00E6016A" w:rsidRDefault="00E6016A" w:rsidP="00E6016A">
      <w:pPr>
        <w:pStyle w:val="Bibliography"/>
        <w:rPr>
          <w:rFonts w:ascii="Cambria" w:hAnsi="Cambria"/>
        </w:rPr>
      </w:pPr>
      <w:r w:rsidRPr="00E6016A">
        <w:rPr>
          <w:rFonts w:ascii="Cambria" w:hAnsi="Cambria"/>
        </w:rPr>
        <w:t xml:space="preserve">———. 2011. “Predicting What Will Happen When We Act. What Counts for Warrant?” </w:t>
      </w:r>
      <w:r w:rsidRPr="00E6016A">
        <w:rPr>
          <w:rFonts w:ascii="Cambria" w:hAnsi="Cambria"/>
          <w:i/>
          <w:iCs/>
        </w:rPr>
        <w:t>Preventive Medicine</w:t>
      </w:r>
      <w:r w:rsidRPr="00E6016A">
        <w:rPr>
          <w:rFonts w:ascii="Cambria" w:hAnsi="Cambria"/>
        </w:rPr>
        <w:t xml:space="preserve"> 53 (4-5): 221–4.</w:t>
      </w:r>
    </w:p>
    <w:p w14:paraId="47DDAC69" w14:textId="77777777" w:rsidR="00E6016A" w:rsidRPr="00E6016A" w:rsidRDefault="00E6016A" w:rsidP="00E6016A">
      <w:pPr>
        <w:pStyle w:val="Bibliography"/>
        <w:rPr>
          <w:rFonts w:ascii="Cambria" w:hAnsi="Cambria"/>
        </w:rPr>
      </w:pPr>
      <w:r w:rsidRPr="00E6016A">
        <w:rPr>
          <w:rFonts w:ascii="Cambria" w:hAnsi="Cambria"/>
        </w:rPr>
        <w:t xml:space="preserve">Douglas, Heather. 2009. “Reintroducing Prediction to Explanation.” </w:t>
      </w:r>
      <w:r w:rsidRPr="00E6016A">
        <w:rPr>
          <w:rFonts w:ascii="Cambria" w:hAnsi="Cambria"/>
          <w:i/>
          <w:iCs/>
        </w:rPr>
        <w:t>Philosophy of Science</w:t>
      </w:r>
      <w:r w:rsidRPr="00E6016A">
        <w:rPr>
          <w:rFonts w:ascii="Cambria" w:hAnsi="Cambria"/>
        </w:rPr>
        <w:t xml:space="preserve"> 76: 444–463.</w:t>
      </w:r>
    </w:p>
    <w:p w14:paraId="1E2C01E1" w14:textId="77777777" w:rsidR="00E6016A" w:rsidRPr="00E6016A" w:rsidRDefault="00E6016A" w:rsidP="00E6016A">
      <w:pPr>
        <w:pStyle w:val="Bibliography"/>
        <w:rPr>
          <w:rFonts w:ascii="Cambria" w:hAnsi="Cambria"/>
        </w:rPr>
      </w:pPr>
      <w:r w:rsidRPr="00E6016A">
        <w:rPr>
          <w:rFonts w:ascii="Cambria" w:hAnsi="Cambria"/>
        </w:rPr>
        <w:t xml:space="preserve">Duhem, Pierre. 1914. </w:t>
      </w:r>
      <w:r w:rsidRPr="00E6016A">
        <w:rPr>
          <w:rFonts w:ascii="Cambria" w:hAnsi="Cambria"/>
          <w:i/>
          <w:iCs/>
        </w:rPr>
        <w:t>The Aim and Structure of Physical Theory</w:t>
      </w:r>
      <w:r w:rsidRPr="00E6016A">
        <w:rPr>
          <w:rFonts w:ascii="Cambria" w:hAnsi="Cambria"/>
        </w:rPr>
        <w:t>. New York: Atheneum.</w:t>
      </w:r>
    </w:p>
    <w:p w14:paraId="1950D508" w14:textId="77777777" w:rsidR="00E6016A" w:rsidRPr="00E6016A" w:rsidRDefault="00E6016A" w:rsidP="00E6016A">
      <w:pPr>
        <w:pStyle w:val="Bibliography"/>
        <w:rPr>
          <w:rFonts w:ascii="Cambria" w:hAnsi="Cambria"/>
        </w:rPr>
      </w:pPr>
      <w:r w:rsidRPr="00E6016A">
        <w:rPr>
          <w:rFonts w:ascii="Cambria" w:hAnsi="Cambria"/>
        </w:rPr>
        <w:t xml:space="preserve">Goodman, Nelson. 1983. </w:t>
      </w:r>
      <w:r w:rsidRPr="00E6016A">
        <w:rPr>
          <w:rFonts w:ascii="Cambria" w:hAnsi="Cambria"/>
          <w:i/>
          <w:iCs/>
        </w:rPr>
        <w:t>Fact, Fiction and Forecast</w:t>
      </w:r>
      <w:r w:rsidRPr="00E6016A">
        <w:rPr>
          <w:rFonts w:ascii="Cambria" w:hAnsi="Cambria"/>
        </w:rPr>
        <w:t>. Fourth. Cambridge, Massachusetts: Harvard University Press.</w:t>
      </w:r>
    </w:p>
    <w:p w14:paraId="4D09418A" w14:textId="77777777" w:rsidR="00E6016A" w:rsidRPr="00E6016A" w:rsidRDefault="00E6016A" w:rsidP="00E6016A">
      <w:pPr>
        <w:pStyle w:val="Bibliography"/>
        <w:rPr>
          <w:rFonts w:ascii="Cambria" w:hAnsi="Cambria"/>
        </w:rPr>
      </w:pPr>
      <w:r w:rsidRPr="00E6016A">
        <w:rPr>
          <w:rFonts w:ascii="Cambria" w:hAnsi="Cambria"/>
        </w:rPr>
        <w:t xml:space="preserve">Hall, Ned. 2004. “Causation and the Price of Transitivity.” In </w:t>
      </w:r>
      <w:r w:rsidRPr="00E6016A">
        <w:rPr>
          <w:rFonts w:ascii="Cambria" w:hAnsi="Cambria"/>
          <w:i/>
          <w:iCs/>
        </w:rPr>
        <w:t>Causation and Counterfactuals</w:t>
      </w:r>
      <w:r w:rsidRPr="00E6016A">
        <w:rPr>
          <w:rFonts w:ascii="Cambria" w:hAnsi="Cambria"/>
        </w:rPr>
        <w:t>, edited by J. Collins, N. Hall, and L. A Paul, 181―204. Cambridge, Massachusetts: MIT Press.</w:t>
      </w:r>
    </w:p>
    <w:p w14:paraId="7724165C" w14:textId="77777777" w:rsidR="00E6016A" w:rsidRPr="00E6016A" w:rsidRDefault="00E6016A" w:rsidP="00E6016A">
      <w:pPr>
        <w:pStyle w:val="Bibliography"/>
        <w:rPr>
          <w:rFonts w:ascii="Cambria" w:hAnsi="Cambria"/>
        </w:rPr>
      </w:pPr>
      <w:r w:rsidRPr="00E6016A">
        <w:rPr>
          <w:rFonts w:ascii="Cambria" w:hAnsi="Cambria"/>
        </w:rPr>
        <w:t xml:space="preserve">Halpern, Joseph Y., and Judea Pearl. 2005. “Causes and Explanations: A Structural Models Approach. Part 1: Causes.” </w:t>
      </w:r>
      <w:r w:rsidRPr="00E6016A">
        <w:rPr>
          <w:rFonts w:ascii="Cambria" w:hAnsi="Cambria"/>
          <w:i/>
          <w:iCs/>
        </w:rPr>
        <w:t>British Journal for the Philosophy of Science</w:t>
      </w:r>
      <w:r w:rsidRPr="00E6016A">
        <w:rPr>
          <w:rFonts w:ascii="Cambria" w:hAnsi="Cambria"/>
        </w:rPr>
        <w:t xml:space="preserve"> 56: 843–887.</w:t>
      </w:r>
    </w:p>
    <w:p w14:paraId="3E7AAF59" w14:textId="77777777" w:rsidR="00E6016A" w:rsidRPr="00E6016A" w:rsidRDefault="00E6016A" w:rsidP="00E6016A">
      <w:pPr>
        <w:pStyle w:val="Bibliography"/>
        <w:rPr>
          <w:rFonts w:ascii="Cambria" w:hAnsi="Cambria"/>
        </w:rPr>
      </w:pPr>
      <w:r w:rsidRPr="00E6016A">
        <w:rPr>
          <w:rFonts w:ascii="Cambria" w:hAnsi="Cambria"/>
        </w:rPr>
        <w:t xml:space="preserve">Hanna, Joseph F. 1969. “Explanation, Prediction, Description, and Information Theory.” </w:t>
      </w:r>
      <w:r w:rsidRPr="00E6016A">
        <w:rPr>
          <w:rFonts w:ascii="Cambria" w:hAnsi="Cambria"/>
          <w:i/>
          <w:iCs/>
        </w:rPr>
        <w:t>Synthese</w:t>
      </w:r>
      <w:r w:rsidRPr="00E6016A">
        <w:rPr>
          <w:rFonts w:ascii="Cambria" w:hAnsi="Cambria"/>
        </w:rPr>
        <w:t xml:space="preserve"> 20 (3): 308–334.</w:t>
      </w:r>
    </w:p>
    <w:p w14:paraId="03A5C0C7" w14:textId="77777777" w:rsidR="00E6016A" w:rsidRPr="00E6016A" w:rsidRDefault="00E6016A" w:rsidP="00E6016A">
      <w:pPr>
        <w:pStyle w:val="Bibliography"/>
        <w:rPr>
          <w:rFonts w:ascii="Cambria" w:hAnsi="Cambria"/>
        </w:rPr>
      </w:pPr>
      <w:r w:rsidRPr="00E6016A">
        <w:rPr>
          <w:rFonts w:ascii="Cambria" w:hAnsi="Cambria"/>
        </w:rPr>
        <w:t xml:space="preserve">Hempel, Carl G. 1945a. “Studies in the Logic of Confirmation (I.).” </w:t>
      </w:r>
      <w:r w:rsidRPr="00E6016A">
        <w:rPr>
          <w:rFonts w:ascii="Cambria" w:hAnsi="Cambria"/>
          <w:i/>
          <w:iCs/>
        </w:rPr>
        <w:t>Mind</w:t>
      </w:r>
      <w:r w:rsidRPr="00E6016A">
        <w:rPr>
          <w:rFonts w:ascii="Cambria" w:hAnsi="Cambria"/>
        </w:rPr>
        <w:t xml:space="preserve"> 54: 1–26.</w:t>
      </w:r>
    </w:p>
    <w:p w14:paraId="08E144CC" w14:textId="77777777" w:rsidR="00E6016A" w:rsidRPr="00E6016A" w:rsidRDefault="00E6016A" w:rsidP="00E6016A">
      <w:pPr>
        <w:pStyle w:val="Bibliography"/>
        <w:rPr>
          <w:rFonts w:ascii="Cambria" w:hAnsi="Cambria"/>
        </w:rPr>
      </w:pPr>
      <w:r w:rsidRPr="00E6016A">
        <w:rPr>
          <w:rFonts w:ascii="Cambria" w:hAnsi="Cambria"/>
        </w:rPr>
        <w:t xml:space="preserve">———. 1945b. “Studies in the Logic of Confirmation (II.).” </w:t>
      </w:r>
      <w:r w:rsidRPr="00E6016A">
        <w:rPr>
          <w:rFonts w:ascii="Cambria" w:hAnsi="Cambria"/>
          <w:i/>
          <w:iCs/>
        </w:rPr>
        <w:t>Mind</w:t>
      </w:r>
      <w:r w:rsidRPr="00E6016A">
        <w:rPr>
          <w:rFonts w:ascii="Cambria" w:hAnsi="Cambria"/>
        </w:rPr>
        <w:t xml:space="preserve"> 54: 97–121.</w:t>
      </w:r>
    </w:p>
    <w:p w14:paraId="451909EB" w14:textId="77777777" w:rsidR="00E6016A" w:rsidRPr="00E6016A" w:rsidRDefault="00E6016A" w:rsidP="00E6016A">
      <w:pPr>
        <w:pStyle w:val="Bibliography"/>
        <w:rPr>
          <w:rFonts w:ascii="Cambria" w:hAnsi="Cambria"/>
        </w:rPr>
      </w:pPr>
      <w:r w:rsidRPr="00E6016A">
        <w:rPr>
          <w:rFonts w:ascii="Cambria" w:hAnsi="Cambria"/>
        </w:rPr>
        <w:t xml:space="preserve">Hempel, Carl, and Paul Oppenheim. 1948. “Studies in the Logic of Explanation.” </w:t>
      </w:r>
      <w:r w:rsidRPr="00E6016A">
        <w:rPr>
          <w:rFonts w:ascii="Cambria" w:hAnsi="Cambria"/>
          <w:i/>
          <w:iCs/>
        </w:rPr>
        <w:t>Philosophy of Science</w:t>
      </w:r>
      <w:r w:rsidRPr="00E6016A">
        <w:rPr>
          <w:rFonts w:ascii="Cambria" w:hAnsi="Cambria"/>
        </w:rPr>
        <w:t xml:space="preserve"> 15 (2): 135–175.</w:t>
      </w:r>
    </w:p>
    <w:p w14:paraId="6C9E64F8" w14:textId="77777777" w:rsidR="00E6016A" w:rsidRPr="00E6016A" w:rsidRDefault="00E6016A" w:rsidP="00E6016A">
      <w:pPr>
        <w:pStyle w:val="Bibliography"/>
        <w:rPr>
          <w:rFonts w:ascii="Cambria" w:hAnsi="Cambria"/>
        </w:rPr>
      </w:pPr>
      <w:r w:rsidRPr="00E6016A">
        <w:rPr>
          <w:rFonts w:ascii="Cambria" w:hAnsi="Cambria"/>
        </w:rPr>
        <w:t xml:space="preserve">Kim, Jaegwon. 1964. “Inference, Explanation, and Prediction.” </w:t>
      </w:r>
      <w:r w:rsidRPr="00E6016A">
        <w:rPr>
          <w:rFonts w:ascii="Cambria" w:hAnsi="Cambria"/>
          <w:i/>
          <w:iCs/>
        </w:rPr>
        <w:t>The Journal of Philosophy</w:t>
      </w:r>
      <w:r w:rsidRPr="00E6016A">
        <w:rPr>
          <w:rFonts w:ascii="Cambria" w:hAnsi="Cambria"/>
        </w:rPr>
        <w:t xml:space="preserve"> 61 (12): 360–368.</w:t>
      </w:r>
    </w:p>
    <w:p w14:paraId="13946DD1" w14:textId="77777777" w:rsidR="00E6016A" w:rsidRPr="00E6016A" w:rsidRDefault="00E6016A" w:rsidP="00E6016A">
      <w:pPr>
        <w:pStyle w:val="Bibliography"/>
        <w:rPr>
          <w:rFonts w:ascii="Cambria" w:hAnsi="Cambria"/>
        </w:rPr>
      </w:pPr>
      <w:r w:rsidRPr="00E6016A">
        <w:rPr>
          <w:rFonts w:ascii="Cambria" w:hAnsi="Cambria"/>
        </w:rPr>
        <w:t xml:space="preserve">Laudan, Larry. 1981. “A Confutation of Convergent Realism.” </w:t>
      </w:r>
      <w:r w:rsidRPr="00E6016A">
        <w:rPr>
          <w:rFonts w:ascii="Cambria" w:hAnsi="Cambria"/>
          <w:i/>
          <w:iCs/>
        </w:rPr>
        <w:t>Philosophy of Science</w:t>
      </w:r>
      <w:r w:rsidRPr="00E6016A">
        <w:rPr>
          <w:rFonts w:ascii="Cambria" w:hAnsi="Cambria"/>
        </w:rPr>
        <w:t xml:space="preserve"> 48 (1): 19–49.</w:t>
      </w:r>
    </w:p>
    <w:p w14:paraId="404597CF" w14:textId="77777777" w:rsidR="00E6016A" w:rsidRPr="00E6016A" w:rsidRDefault="00E6016A" w:rsidP="00E6016A">
      <w:pPr>
        <w:pStyle w:val="Bibliography"/>
        <w:rPr>
          <w:rFonts w:ascii="Cambria" w:hAnsi="Cambria"/>
        </w:rPr>
      </w:pPr>
      <w:r w:rsidRPr="00E6016A">
        <w:rPr>
          <w:rFonts w:ascii="Cambria" w:hAnsi="Cambria"/>
        </w:rPr>
        <w:t xml:space="preserve">Lawson, Tony. 1985. “The Context of Prediction (and the Paradox of Confirmation).” </w:t>
      </w:r>
      <w:r w:rsidRPr="00E6016A">
        <w:rPr>
          <w:rFonts w:ascii="Cambria" w:hAnsi="Cambria"/>
          <w:i/>
          <w:iCs/>
        </w:rPr>
        <w:t>The British Journal for the Philosophy of Science</w:t>
      </w:r>
      <w:r w:rsidRPr="00E6016A">
        <w:rPr>
          <w:rFonts w:ascii="Cambria" w:hAnsi="Cambria"/>
        </w:rPr>
        <w:t xml:space="preserve"> 36 (4): 393–407.</w:t>
      </w:r>
    </w:p>
    <w:p w14:paraId="48DDB278" w14:textId="77777777" w:rsidR="00E6016A" w:rsidRPr="00E6016A" w:rsidRDefault="00E6016A" w:rsidP="00E6016A">
      <w:pPr>
        <w:pStyle w:val="Bibliography"/>
        <w:rPr>
          <w:rFonts w:ascii="Cambria" w:hAnsi="Cambria"/>
        </w:rPr>
      </w:pPr>
      <w:r w:rsidRPr="00E6016A">
        <w:rPr>
          <w:rFonts w:ascii="Cambria" w:hAnsi="Cambria"/>
        </w:rPr>
        <w:t xml:space="preserve">Lewis, David. 1973. “Causation.” </w:t>
      </w:r>
      <w:r w:rsidRPr="00E6016A">
        <w:rPr>
          <w:rFonts w:ascii="Cambria" w:hAnsi="Cambria"/>
          <w:i/>
          <w:iCs/>
        </w:rPr>
        <w:t>The Journal of Philosophy</w:t>
      </w:r>
      <w:r w:rsidRPr="00E6016A">
        <w:rPr>
          <w:rFonts w:ascii="Cambria" w:hAnsi="Cambria"/>
        </w:rPr>
        <w:t xml:space="preserve"> 70 (17): 556–567.</w:t>
      </w:r>
    </w:p>
    <w:p w14:paraId="7C14905D" w14:textId="77777777" w:rsidR="00E6016A" w:rsidRPr="00E6016A" w:rsidRDefault="00E6016A" w:rsidP="00E6016A">
      <w:pPr>
        <w:pStyle w:val="Bibliography"/>
        <w:rPr>
          <w:rFonts w:ascii="Cambria" w:hAnsi="Cambria"/>
        </w:rPr>
      </w:pPr>
      <w:r w:rsidRPr="00E6016A">
        <w:rPr>
          <w:rFonts w:ascii="Cambria" w:hAnsi="Cambria"/>
        </w:rPr>
        <w:t xml:space="preserve">Lipton, Peter. 2004. </w:t>
      </w:r>
      <w:r w:rsidRPr="00E6016A">
        <w:rPr>
          <w:rFonts w:ascii="Cambria" w:hAnsi="Cambria"/>
          <w:i/>
          <w:iCs/>
        </w:rPr>
        <w:t>Inference to the Best Explanation</w:t>
      </w:r>
      <w:r w:rsidRPr="00E6016A">
        <w:rPr>
          <w:rFonts w:ascii="Cambria" w:hAnsi="Cambria"/>
        </w:rPr>
        <w:t>. Second edition. London and New York: Routledge.</w:t>
      </w:r>
    </w:p>
    <w:p w14:paraId="3BF339C5" w14:textId="77777777" w:rsidR="00E6016A" w:rsidRPr="00E6016A" w:rsidRDefault="00E6016A" w:rsidP="00E6016A">
      <w:pPr>
        <w:pStyle w:val="Bibliography"/>
        <w:rPr>
          <w:rFonts w:ascii="Cambria" w:hAnsi="Cambria"/>
        </w:rPr>
      </w:pPr>
      <w:r w:rsidRPr="00E6016A">
        <w:rPr>
          <w:rFonts w:ascii="Cambria" w:hAnsi="Cambria"/>
        </w:rPr>
        <w:t xml:space="preserve">———. 2005. “Testing Hypotheses: Prediction and Prejudice.” </w:t>
      </w:r>
      <w:r w:rsidRPr="00E6016A">
        <w:rPr>
          <w:rFonts w:ascii="Cambria" w:hAnsi="Cambria"/>
          <w:i/>
          <w:iCs/>
        </w:rPr>
        <w:t>Science</w:t>
      </w:r>
      <w:r w:rsidRPr="00E6016A">
        <w:rPr>
          <w:rFonts w:ascii="Cambria" w:hAnsi="Cambria"/>
        </w:rPr>
        <w:t xml:space="preserve"> 307 (5707): 219–221.</w:t>
      </w:r>
    </w:p>
    <w:p w14:paraId="7CFC0950" w14:textId="77777777" w:rsidR="00E6016A" w:rsidRPr="00E6016A" w:rsidRDefault="00E6016A" w:rsidP="00E6016A">
      <w:pPr>
        <w:pStyle w:val="Bibliography"/>
        <w:rPr>
          <w:rFonts w:ascii="Cambria" w:hAnsi="Cambria"/>
        </w:rPr>
      </w:pPr>
      <w:r w:rsidRPr="00E6016A">
        <w:rPr>
          <w:rFonts w:ascii="Cambria" w:hAnsi="Cambria"/>
        </w:rPr>
        <w:t xml:space="preserve">Maher, Patrick. 1988. “Prediction, Accommodation, and the Logic of Discovery.” </w:t>
      </w:r>
      <w:r w:rsidRPr="00E6016A">
        <w:rPr>
          <w:rFonts w:ascii="Cambria" w:hAnsi="Cambria"/>
          <w:i/>
          <w:iCs/>
        </w:rPr>
        <w:t>PSA: Proceedings of the Biennial Meeting of the Philosophy of Science Association</w:t>
      </w:r>
      <w:r w:rsidRPr="00E6016A">
        <w:rPr>
          <w:rFonts w:ascii="Cambria" w:hAnsi="Cambria"/>
        </w:rPr>
        <w:t xml:space="preserve"> 1: 273–285.</w:t>
      </w:r>
    </w:p>
    <w:p w14:paraId="6BFE3E97" w14:textId="77777777" w:rsidR="00E6016A" w:rsidRPr="00E6016A" w:rsidRDefault="00E6016A" w:rsidP="00E6016A">
      <w:pPr>
        <w:pStyle w:val="Bibliography"/>
        <w:rPr>
          <w:rFonts w:ascii="Cambria" w:hAnsi="Cambria"/>
        </w:rPr>
      </w:pPr>
      <w:r w:rsidRPr="00E6016A">
        <w:rPr>
          <w:rFonts w:ascii="Cambria" w:hAnsi="Cambria"/>
        </w:rPr>
        <w:t xml:space="preserve">———. 1993. “Howson and Franklin on Prediction.” </w:t>
      </w:r>
      <w:r w:rsidRPr="00E6016A">
        <w:rPr>
          <w:rFonts w:ascii="Cambria" w:hAnsi="Cambria"/>
          <w:i/>
          <w:iCs/>
        </w:rPr>
        <w:t>Philosophy of Science</w:t>
      </w:r>
      <w:r w:rsidRPr="00E6016A">
        <w:rPr>
          <w:rFonts w:ascii="Cambria" w:hAnsi="Cambria"/>
        </w:rPr>
        <w:t xml:space="preserve"> 60 (2): 329–340.</w:t>
      </w:r>
    </w:p>
    <w:p w14:paraId="13B422B7" w14:textId="77777777" w:rsidR="00E6016A" w:rsidRPr="00E6016A" w:rsidRDefault="00E6016A" w:rsidP="00E6016A">
      <w:pPr>
        <w:pStyle w:val="Bibliography"/>
        <w:rPr>
          <w:rFonts w:ascii="Cambria" w:hAnsi="Cambria"/>
        </w:rPr>
      </w:pPr>
      <w:r w:rsidRPr="00E6016A">
        <w:rPr>
          <w:rFonts w:ascii="Cambria" w:hAnsi="Cambria"/>
        </w:rPr>
        <w:t xml:space="preserve">Matthew, Anthony. 1971. “Prediction and Predication.” </w:t>
      </w:r>
      <w:r w:rsidRPr="00E6016A">
        <w:rPr>
          <w:rFonts w:ascii="Cambria" w:hAnsi="Cambria"/>
          <w:i/>
          <w:iCs/>
        </w:rPr>
        <w:t>The British Journal for the Philosophy of Science</w:t>
      </w:r>
      <w:r w:rsidRPr="00E6016A">
        <w:rPr>
          <w:rFonts w:ascii="Cambria" w:hAnsi="Cambria"/>
        </w:rPr>
        <w:t xml:space="preserve"> 22 (2): 171–182.</w:t>
      </w:r>
    </w:p>
    <w:p w14:paraId="00A483B3" w14:textId="77777777" w:rsidR="00E6016A" w:rsidRPr="00E6016A" w:rsidRDefault="00E6016A" w:rsidP="00E6016A">
      <w:pPr>
        <w:pStyle w:val="Bibliography"/>
        <w:rPr>
          <w:rFonts w:ascii="Cambria" w:hAnsi="Cambria"/>
        </w:rPr>
      </w:pPr>
      <w:r w:rsidRPr="00E6016A">
        <w:rPr>
          <w:rFonts w:ascii="Cambria" w:hAnsi="Cambria"/>
        </w:rPr>
        <w:t xml:space="preserve">Merrill, G.H. 1979. “Prediction and Confirmation.” </w:t>
      </w:r>
      <w:r w:rsidRPr="00E6016A">
        <w:rPr>
          <w:rFonts w:ascii="Cambria" w:hAnsi="Cambria"/>
          <w:i/>
          <w:iCs/>
        </w:rPr>
        <w:t>Philosophy of Science</w:t>
      </w:r>
      <w:r w:rsidRPr="00E6016A">
        <w:rPr>
          <w:rFonts w:ascii="Cambria" w:hAnsi="Cambria"/>
        </w:rPr>
        <w:t xml:space="preserve"> 46 (1): 98–117.</w:t>
      </w:r>
    </w:p>
    <w:p w14:paraId="425D2CDD" w14:textId="77777777" w:rsidR="00E6016A" w:rsidRPr="00E6016A" w:rsidRDefault="00E6016A" w:rsidP="00E6016A">
      <w:pPr>
        <w:pStyle w:val="Bibliography"/>
        <w:rPr>
          <w:rFonts w:ascii="Cambria" w:hAnsi="Cambria"/>
        </w:rPr>
      </w:pPr>
      <w:r w:rsidRPr="00E6016A">
        <w:rPr>
          <w:rFonts w:ascii="Cambria" w:hAnsi="Cambria"/>
        </w:rPr>
        <w:lastRenderedPageBreak/>
        <w:t xml:space="preserve">Pearl, Judea. 2009. </w:t>
      </w:r>
      <w:r w:rsidRPr="00E6016A">
        <w:rPr>
          <w:rFonts w:ascii="Cambria" w:hAnsi="Cambria"/>
          <w:i/>
          <w:iCs/>
        </w:rPr>
        <w:t>Causality: Models, Reasoning and Inference</w:t>
      </w:r>
      <w:r w:rsidRPr="00E6016A">
        <w:rPr>
          <w:rFonts w:ascii="Cambria" w:hAnsi="Cambria"/>
        </w:rPr>
        <w:t>. 2nd ed. Cambridge: Cambridge University Press.</w:t>
      </w:r>
    </w:p>
    <w:p w14:paraId="0B8EF507" w14:textId="77777777" w:rsidR="00E6016A" w:rsidRPr="00E6016A" w:rsidRDefault="00E6016A" w:rsidP="00E6016A">
      <w:pPr>
        <w:pStyle w:val="Bibliography"/>
        <w:rPr>
          <w:rFonts w:ascii="Cambria" w:hAnsi="Cambria"/>
        </w:rPr>
      </w:pPr>
      <w:r w:rsidRPr="00E6016A">
        <w:rPr>
          <w:rFonts w:ascii="Cambria" w:hAnsi="Cambria"/>
        </w:rPr>
        <w:t xml:space="preserve">Quine, W. V.O. 1953. “Two Dogmas of Empiricism.” In </w:t>
      </w:r>
      <w:r w:rsidRPr="00E6016A">
        <w:rPr>
          <w:rFonts w:ascii="Cambria" w:hAnsi="Cambria"/>
          <w:i/>
          <w:iCs/>
        </w:rPr>
        <w:t>From a Logical Point of View</w:t>
      </w:r>
      <w:r w:rsidRPr="00E6016A">
        <w:rPr>
          <w:rFonts w:ascii="Cambria" w:hAnsi="Cambria"/>
        </w:rPr>
        <w:t>, 20―43. Cambridge, Mass.: Harvard University Press.</w:t>
      </w:r>
    </w:p>
    <w:p w14:paraId="065ACB36" w14:textId="77777777" w:rsidR="00E6016A" w:rsidRPr="00E6016A" w:rsidRDefault="00E6016A" w:rsidP="00E6016A">
      <w:pPr>
        <w:pStyle w:val="Bibliography"/>
        <w:rPr>
          <w:rFonts w:ascii="Cambria" w:hAnsi="Cambria"/>
        </w:rPr>
      </w:pPr>
      <w:r w:rsidRPr="00E6016A">
        <w:rPr>
          <w:rFonts w:ascii="Cambria" w:hAnsi="Cambria"/>
        </w:rPr>
        <w:t xml:space="preserve">———. 1969. “Natural Kinds.” In </w:t>
      </w:r>
      <w:r w:rsidRPr="00E6016A">
        <w:rPr>
          <w:rFonts w:ascii="Cambria" w:hAnsi="Cambria"/>
          <w:i/>
          <w:iCs/>
        </w:rPr>
        <w:t>Ontological Relativity and Other Essays</w:t>
      </w:r>
      <w:r w:rsidRPr="00E6016A">
        <w:rPr>
          <w:rFonts w:ascii="Cambria" w:hAnsi="Cambria"/>
        </w:rPr>
        <w:t>, 114―138. New York: Columbia University Press.</w:t>
      </w:r>
    </w:p>
    <w:p w14:paraId="64329CE6" w14:textId="77777777" w:rsidR="00E6016A" w:rsidRPr="00E6016A" w:rsidRDefault="00E6016A" w:rsidP="00E6016A">
      <w:pPr>
        <w:pStyle w:val="Bibliography"/>
        <w:rPr>
          <w:rFonts w:ascii="Cambria" w:hAnsi="Cambria"/>
        </w:rPr>
      </w:pPr>
      <w:r w:rsidRPr="00E6016A">
        <w:rPr>
          <w:rFonts w:ascii="Cambria" w:hAnsi="Cambria"/>
        </w:rPr>
        <w:t>Rescher, Nicholas. 1958. “On Prediction and Explanation” 8 (32): 281–290.</w:t>
      </w:r>
    </w:p>
    <w:p w14:paraId="04BA0BEF" w14:textId="77777777" w:rsidR="00E6016A" w:rsidRPr="00E6016A" w:rsidRDefault="00E6016A" w:rsidP="00E6016A">
      <w:pPr>
        <w:pStyle w:val="Bibliography"/>
        <w:rPr>
          <w:rFonts w:ascii="Cambria" w:hAnsi="Cambria"/>
        </w:rPr>
      </w:pPr>
      <w:r w:rsidRPr="00E6016A">
        <w:rPr>
          <w:rFonts w:ascii="Cambria" w:hAnsi="Cambria"/>
        </w:rPr>
        <w:t xml:space="preserve">———. 1963. “Discrete State Systems, Markov Chains, and Problems in the Theory of Scientific Explanation and Prediction.” </w:t>
      </w:r>
      <w:r w:rsidRPr="00E6016A">
        <w:rPr>
          <w:rFonts w:ascii="Cambria" w:hAnsi="Cambria"/>
          <w:i/>
          <w:iCs/>
        </w:rPr>
        <w:t>Philosophy of Science</w:t>
      </w:r>
      <w:r w:rsidRPr="00E6016A">
        <w:rPr>
          <w:rFonts w:ascii="Cambria" w:hAnsi="Cambria"/>
        </w:rPr>
        <w:t xml:space="preserve"> 30 (4): 325–345.</w:t>
      </w:r>
    </w:p>
    <w:p w14:paraId="70688445" w14:textId="77777777" w:rsidR="00E6016A" w:rsidRPr="00E6016A" w:rsidRDefault="00E6016A" w:rsidP="00E6016A">
      <w:pPr>
        <w:pStyle w:val="Bibliography"/>
        <w:rPr>
          <w:rFonts w:ascii="Cambria" w:hAnsi="Cambria"/>
        </w:rPr>
      </w:pPr>
      <w:r w:rsidRPr="00E6016A">
        <w:rPr>
          <w:rFonts w:ascii="Cambria" w:hAnsi="Cambria"/>
        </w:rPr>
        <w:t xml:space="preserve">Ruben, David-Hillel. 1993. “Introduction.” In </w:t>
      </w:r>
      <w:r w:rsidRPr="00E6016A">
        <w:rPr>
          <w:rFonts w:ascii="Cambria" w:hAnsi="Cambria"/>
          <w:i/>
          <w:iCs/>
        </w:rPr>
        <w:t>Explanation</w:t>
      </w:r>
      <w:r w:rsidRPr="00E6016A">
        <w:rPr>
          <w:rFonts w:ascii="Cambria" w:hAnsi="Cambria"/>
        </w:rPr>
        <w:t>, edited by David-Hillel Ruben, 1–16. Oxford Readings in Philosophy. Oxford: Oxford University Press.</w:t>
      </w:r>
    </w:p>
    <w:p w14:paraId="74A750F6" w14:textId="77777777" w:rsidR="00E6016A" w:rsidRPr="00E6016A" w:rsidRDefault="00E6016A" w:rsidP="00E6016A">
      <w:pPr>
        <w:pStyle w:val="Bibliography"/>
        <w:rPr>
          <w:rFonts w:ascii="Cambria" w:hAnsi="Cambria"/>
        </w:rPr>
      </w:pPr>
      <w:r w:rsidRPr="00E6016A">
        <w:rPr>
          <w:rFonts w:ascii="Cambria" w:hAnsi="Cambria"/>
        </w:rPr>
        <w:t xml:space="preserve">Russell, Bertrand. 1912. </w:t>
      </w:r>
      <w:r w:rsidRPr="00E6016A">
        <w:rPr>
          <w:rFonts w:ascii="Cambria" w:hAnsi="Cambria"/>
          <w:i/>
          <w:iCs/>
        </w:rPr>
        <w:t>The Problems of Philosophy</w:t>
      </w:r>
      <w:r w:rsidRPr="00E6016A">
        <w:rPr>
          <w:rFonts w:ascii="Cambria" w:hAnsi="Cambria"/>
        </w:rPr>
        <w:t>. 1988th ed. Great Books in Philosophy. Buffalo, New York: Prometheus Books.</w:t>
      </w:r>
    </w:p>
    <w:p w14:paraId="51D9DDFC" w14:textId="77777777" w:rsidR="00E6016A" w:rsidRPr="00E6016A" w:rsidRDefault="00E6016A" w:rsidP="00E6016A">
      <w:pPr>
        <w:pStyle w:val="Bibliography"/>
        <w:rPr>
          <w:rFonts w:ascii="Cambria" w:hAnsi="Cambria"/>
        </w:rPr>
      </w:pPr>
      <w:r w:rsidRPr="00E6016A">
        <w:rPr>
          <w:rFonts w:ascii="Cambria" w:hAnsi="Cambria"/>
        </w:rPr>
        <w:t>Rutter, Michael. 2007. “Identifying the Environmental Causes of Disease: How Should We Decide What to Believe and When to Take Action?” The Academy of Medical Sciences.</w:t>
      </w:r>
    </w:p>
    <w:p w14:paraId="2E25E6B0" w14:textId="77777777" w:rsidR="00E6016A" w:rsidRPr="00E6016A" w:rsidRDefault="00E6016A" w:rsidP="00E6016A">
      <w:pPr>
        <w:pStyle w:val="Bibliography"/>
        <w:rPr>
          <w:rFonts w:ascii="Cambria" w:hAnsi="Cambria"/>
        </w:rPr>
      </w:pPr>
      <w:r w:rsidRPr="00E6016A">
        <w:rPr>
          <w:rFonts w:ascii="Cambria" w:hAnsi="Cambria"/>
        </w:rPr>
        <w:t xml:space="preserve">Salmon, Wesley C. 1981. “Rational Prediction.” </w:t>
      </w:r>
      <w:r w:rsidRPr="00E6016A">
        <w:rPr>
          <w:rFonts w:ascii="Cambria" w:hAnsi="Cambria"/>
          <w:i/>
          <w:iCs/>
        </w:rPr>
        <w:t>The British Journal for the Philosophy of Science</w:t>
      </w:r>
      <w:r w:rsidRPr="00E6016A">
        <w:rPr>
          <w:rFonts w:ascii="Cambria" w:hAnsi="Cambria"/>
        </w:rPr>
        <w:t xml:space="preserve"> 32 (2): 115–125.</w:t>
      </w:r>
    </w:p>
    <w:p w14:paraId="7F0FB51E" w14:textId="77777777" w:rsidR="00E6016A" w:rsidRPr="00E6016A" w:rsidRDefault="00E6016A" w:rsidP="00E6016A">
      <w:pPr>
        <w:pStyle w:val="Bibliography"/>
        <w:rPr>
          <w:rFonts w:ascii="Cambria" w:hAnsi="Cambria"/>
        </w:rPr>
      </w:pPr>
      <w:r w:rsidRPr="00E6016A">
        <w:rPr>
          <w:rFonts w:ascii="Cambria" w:hAnsi="Cambria"/>
        </w:rPr>
        <w:t xml:space="preserve">Schaffer, Jonathan. 2005. “Contrastive Causation.” </w:t>
      </w:r>
      <w:r w:rsidRPr="00E6016A">
        <w:rPr>
          <w:rFonts w:ascii="Cambria" w:hAnsi="Cambria"/>
          <w:i/>
          <w:iCs/>
        </w:rPr>
        <w:t>Philosophical Review</w:t>
      </w:r>
      <w:r w:rsidRPr="00E6016A">
        <w:rPr>
          <w:rFonts w:ascii="Cambria" w:hAnsi="Cambria"/>
        </w:rPr>
        <w:t xml:space="preserve"> 114 (3): 297–328.</w:t>
      </w:r>
    </w:p>
    <w:p w14:paraId="18A42F2B" w14:textId="77777777" w:rsidR="00E6016A" w:rsidRPr="00E6016A" w:rsidRDefault="00E6016A" w:rsidP="00E6016A">
      <w:pPr>
        <w:pStyle w:val="Bibliography"/>
        <w:rPr>
          <w:rFonts w:ascii="Cambria" w:hAnsi="Cambria"/>
        </w:rPr>
      </w:pPr>
      <w:r w:rsidRPr="00E6016A">
        <w:rPr>
          <w:rFonts w:ascii="Cambria" w:hAnsi="Cambria"/>
        </w:rPr>
        <w:t xml:space="preserve">———. 2007. “The Metaphysics of Causation.” </w:t>
      </w:r>
      <w:r w:rsidRPr="00E6016A">
        <w:rPr>
          <w:rFonts w:ascii="Cambria" w:hAnsi="Cambria"/>
          <w:i/>
          <w:iCs/>
        </w:rPr>
        <w:t>Stanford Encyclopedia of Philosophy</w:t>
      </w:r>
      <w:r w:rsidRPr="00E6016A">
        <w:rPr>
          <w:rFonts w:ascii="Cambria" w:hAnsi="Cambria"/>
        </w:rPr>
        <w:t>. http://plato.stanford.edu/entries/causation-metaphysics/.</w:t>
      </w:r>
    </w:p>
    <w:p w14:paraId="6DB2546B" w14:textId="77777777" w:rsidR="00E6016A" w:rsidRPr="00E6016A" w:rsidRDefault="00E6016A" w:rsidP="00E6016A">
      <w:pPr>
        <w:pStyle w:val="Bibliography"/>
        <w:rPr>
          <w:rFonts w:ascii="Cambria" w:hAnsi="Cambria"/>
        </w:rPr>
      </w:pPr>
      <w:r w:rsidRPr="00E6016A">
        <w:rPr>
          <w:rFonts w:ascii="Cambria" w:hAnsi="Cambria"/>
        </w:rPr>
        <w:t xml:space="preserve">———. 2010. “Contrastive Causation in the Law.” </w:t>
      </w:r>
      <w:r w:rsidRPr="00E6016A">
        <w:rPr>
          <w:rFonts w:ascii="Cambria" w:hAnsi="Cambria"/>
          <w:i/>
          <w:iCs/>
        </w:rPr>
        <w:t>Legal Theory</w:t>
      </w:r>
      <w:r w:rsidRPr="00E6016A">
        <w:rPr>
          <w:rFonts w:ascii="Cambria" w:hAnsi="Cambria"/>
        </w:rPr>
        <w:t xml:space="preserve"> 16: 259–297.</w:t>
      </w:r>
    </w:p>
    <w:p w14:paraId="6D5D77DE" w14:textId="77777777" w:rsidR="00E6016A" w:rsidRPr="00E6016A" w:rsidRDefault="00E6016A" w:rsidP="00E6016A">
      <w:pPr>
        <w:pStyle w:val="Bibliography"/>
        <w:rPr>
          <w:rFonts w:ascii="Cambria" w:hAnsi="Cambria"/>
        </w:rPr>
      </w:pPr>
      <w:r w:rsidRPr="00E6016A">
        <w:rPr>
          <w:rFonts w:ascii="Cambria" w:hAnsi="Cambria"/>
        </w:rPr>
        <w:t xml:space="preserve">Scheffler, Israel. 1957. “Explanation, Prediction, and Abstraction.” </w:t>
      </w:r>
      <w:r w:rsidRPr="00E6016A">
        <w:rPr>
          <w:rFonts w:ascii="Cambria" w:hAnsi="Cambria"/>
          <w:i/>
          <w:iCs/>
        </w:rPr>
        <w:t>The British Journal for the Philosophy of Science</w:t>
      </w:r>
      <w:r w:rsidRPr="00E6016A">
        <w:rPr>
          <w:rFonts w:ascii="Cambria" w:hAnsi="Cambria"/>
        </w:rPr>
        <w:t xml:space="preserve"> 7 (28): 293–309.</w:t>
      </w:r>
    </w:p>
    <w:p w14:paraId="35CC682D" w14:textId="77777777" w:rsidR="00E6016A" w:rsidRPr="00E6016A" w:rsidRDefault="00E6016A" w:rsidP="00E6016A">
      <w:pPr>
        <w:pStyle w:val="Bibliography"/>
        <w:rPr>
          <w:rFonts w:ascii="Cambria" w:hAnsi="Cambria"/>
        </w:rPr>
      </w:pPr>
      <w:r w:rsidRPr="00E6016A">
        <w:rPr>
          <w:rFonts w:ascii="Cambria" w:hAnsi="Cambria"/>
        </w:rPr>
        <w:t xml:space="preserve">Spirtes, P., C. Glymour, and R. Scheines. 2000. </w:t>
      </w:r>
      <w:r w:rsidRPr="00E6016A">
        <w:rPr>
          <w:rFonts w:ascii="Cambria" w:hAnsi="Cambria"/>
          <w:i/>
          <w:iCs/>
        </w:rPr>
        <w:t>Causation, Prediction, and Search</w:t>
      </w:r>
      <w:r w:rsidRPr="00E6016A">
        <w:rPr>
          <w:rFonts w:ascii="Cambria" w:hAnsi="Cambria"/>
        </w:rPr>
        <w:t>. 2nd ed. New York, N.Y.: Springer-Verlag.</w:t>
      </w:r>
    </w:p>
    <w:p w14:paraId="7DC548CE" w14:textId="77777777" w:rsidR="00E6016A" w:rsidRPr="00E6016A" w:rsidRDefault="00E6016A" w:rsidP="00E6016A">
      <w:pPr>
        <w:pStyle w:val="Bibliography"/>
        <w:rPr>
          <w:rFonts w:ascii="Cambria" w:hAnsi="Cambria"/>
        </w:rPr>
      </w:pPr>
      <w:r w:rsidRPr="00E6016A">
        <w:rPr>
          <w:rFonts w:ascii="Cambria" w:hAnsi="Cambria"/>
        </w:rPr>
        <w:t xml:space="preserve">Suchting, WA. 1967. “Deductive Explanation and Prediction Revisited.” </w:t>
      </w:r>
      <w:r w:rsidRPr="00E6016A">
        <w:rPr>
          <w:rFonts w:ascii="Cambria" w:hAnsi="Cambria"/>
          <w:i/>
          <w:iCs/>
        </w:rPr>
        <w:t>Philosophy of Science</w:t>
      </w:r>
      <w:r w:rsidRPr="00E6016A">
        <w:rPr>
          <w:rFonts w:ascii="Cambria" w:hAnsi="Cambria"/>
        </w:rPr>
        <w:t xml:space="preserve"> 34 (1): 41–52.</w:t>
      </w:r>
    </w:p>
    <w:p w14:paraId="14870B76" w14:textId="77777777" w:rsidR="00E6016A" w:rsidRPr="00E6016A" w:rsidRDefault="00E6016A" w:rsidP="00E6016A">
      <w:pPr>
        <w:pStyle w:val="Bibliography"/>
        <w:rPr>
          <w:rFonts w:ascii="Cambria" w:hAnsi="Cambria"/>
        </w:rPr>
      </w:pPr>
      <w:r w:rsidRPr="00E6016A">
        <w:rPr>
          <w:rFonts w:ascii="Cambria" w:hAnsi="Cambria"/>
        </w:rPr>
        <w:t xml:space="preserve">Szklo, Moyses, and F. Javier Nieto. 2007. </w:t>
      </w:r>
      <w:r w:rsidRPr="00E6016A">
        <w:rPr>
          <w:rFonts w:ascii="Cambria" w:hAnsi="Cambria"/>
          <w:i/>
          <w:iCs/>
        </w:rPr>
        <w:t>Epidemiology: Beyond the Basics</w:t>
      </w:r>
      <w:r w:rsidRPr="00E6016A">
        <w:rPr>
          <w:rFonts w:ascii="Cambria" w:hAnsi="Cambria"/>
        </w:rPr>
        <w:t>. 2nd ed. Boston, Toronto, London, Singapore: Jones and Bartlett Publishers.</w:t>
      </w:r>
    </w:p>
    <w:p w14:paraId="1BCF74AD" w14:textId="77777777" w:rsidR="00E6016A" w:rsidRPr="00E6016A" w:rsidRDefault="00E6016A" w:rsidP="00E6016A">
      <w:pPr>
        <w:pStyle w:val="Bibliography"/>
        <w:rPr>
          <w:rFonts w:ascii="Cambria" w:hAnsi="Cambria"/>
        </w:rPr>
      </w:pPr>
      <w:r w:rsidRPr="00E6016A">
        <w:rPr>
          <w:rFonts w:ascii="Cambria" w:hAnsi="Cambria"/>
        </w:rPr>
        <w:t xml:space="preserve">Tetlock, Philip. 2005. </w:t>
      </w:r>
      <w:r w:rsidRPr="00E6016A">
        <w:rPr>
          <w:rFonts w:ascii="Cambria" w:hAnsi="Cambria"/>
          <w:i/>
          <w:iCs/>
        </w:rPr>
        <w:t>Expert Political Judgement - How Good Is It? How Can We Know?</w:t>
      </w:r>
      <w:r w:rsidRPr="00E6016A">
        <w:rPr>
          <w:rFonts w:ascii="Cambria" w:hAnsi="Cambria"/>
        </w:rPr>
        <w:t xml:space="preserve"> Princeton and Oxford: Princeton University Press.</w:t>
      </w:r>
    </w:p>
    <w:p w14:paraId="00BBDD47" w14:textId="77777777" w:rsidR="00E6016A" w:rsidRPr="00E6016A" w:rsidRDefault="00E6016A" w:rsidP="00E6016A">
      <w:pPr>
        <w:pStyle w:val="Bibliography"/>
        <w:rPr>
          <w:rFonts w:ascii="Cambria" w:hAnsi="Cambria"/>
        </w:rPr>
      </w:pPr>
      <w:r w:rsidRPr="00E6016A">
        <w:rPr>
          <w:rFonts w:ascii="Cambria" w:hAnsi="Cambria"/>
        </w:rPr>
        <w:t xml:space="preserve">Van Fraassen, Bas. 1980. </w:t>
      </w:r>
      <w:r w:rsidRPr="00E6016A">
        <w:rPr>
          <w:rFonts w:ascii="Cambria" w:hAnsi="Cambria"/>
          <w:i/>
          <w:iCs/>
        </w:rPr>
        <w:t>The Scientific Image</w:t>
      </w:r>
      <w:r w:rsidRPr="00E6016A">
        <w:rPr>
          <w:rFonts w:ascii="Cambria" w:hAnsi="Cambria"/>
        </w:rPr>
        <w:t>. Oxford: Oxford University Press.</w:t>
      </w:r>
    </w:p>
    <w:p w14:paraId="4224AAC2" w14:textId="77777777" w:rsidR="00E6016A" w:rsidRPr="00E6016A" w:rsidRDefault="00E6016A" w:rsidP="00E6016A">
      <w:pPr>
        <w:pStyle w:val="Bibliography"/>
        <w:rPr>
          <w:rFonts w:ascii="Cambria" w:hAnsi="Cambria"/>
        </w:rPr>
      </w:pPr>
      <w:r w:rsidRPr="00E6016A">
        <w:rPr>
          <w:rFonts w:ascii="Cambria" w:hAnsi="Cambria"/>
        </w:rPr>
        <w:t xml:space="preserve">White, Roger. 2003. “The Epistemic Advantage of Prediction over Accommodation.” </w:t>
      </w:r>
      <w:r w:rsidRPr="00E6016A">
        <w:rPr>
          <w:rFonts w:ascii="Cambria" w:hAnsi="Cambria"/>
          <w:i/>
          <w:iCs/>
        </w:rPr>
        <w:t>Mind</w:t>
      </w:r>
      <w:r w:rsidRPr="00E6016A">
        <w:rPr>
          <w:rFonts w:ascii="Cambria" w:hAnsi="Cambria"/>
        </w:rPr>
        <w:t xml:space="preserve"> 112 (448): 653–683.</w:t>
      </w:r>
    </w:p>
    <w:p w14:paraId="13B7B6A3" w14:textId="77777777" w:rsidR="00E6016A" w:rsidRPr="00E6016A" w:rsidRDefault="00E6016A" w:rsidP="00E6016A">
      <w:pPr>
        <w:pStyle w:val="Bibliography"/>
        <w:rPr>
          <w:rFonts w:ascii="Cambria" w:hAnsi="Cambria"/>
        </w:rPr>
      </w:pPr>
      <w:r w:rsidRPr="00E6016A">
        <w:rPr>
          <w:rFonts w:ascii="Cambria" w:hAnsi="Cambria"/>
        </w:rPr>
        <w:t xml:space="preserve">Whitmore, Charles E. 1942. “The Status of Prediction.” </w:t>
      </w:r>
      <w:r w:rsidRPr="00E6016A">
        <w:rPr>
          <w:rFonts w:ascii="Cambria" w:hAnsi="Cambria"/>
          <w:i/>
          <w:iCs/>
        </w:rPr>
        <w:t>The Journal of Philosophy</w:t>
      </w:r>
      <w:r w:rsidRPr="00E6016A">
        <w:rPr>
          <w:rFonts w:ascii="Cambria" w:hAnsi="Cambria"/>
        </w:rPr>
        <w:t xml:space="preserve"> 39 (1): 5–14.</w:t>
      </w:r>
    </w:p>
    <w:p w14:paraId="2652D44A" w14:textId="6181707B" w:rsidR="00E93C6E" w:rsidRPr="00E93C6E" w:rsidRDefault="0092400F" w:rsidP="00DA3D41">
      <w:r>
        <w:fldChar w:fldCharType="end"/>
      </w:r>
    </w:p>
    <w:sectPr w:rsidR="00E93C6E" w:rsidRPr="00E93C6E">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C3DBD6" w14:textId="77777777" w:rsidR="00073FF1" w:rsidRDefault="00073FF1" w:rsidP="00171364">
      <w:pPr>
        <w:spacing w:after="0" w:line="240" w:lineRule="auto"/>
      </w:pPr>
      <w:r>
        <w:separator/>
      </w:r>
    </w:p>
  </w:endnote>
  <w:endnote w:type="continuationSeparator" w:id="0">
    <w:p w14:paraId="48208217" w14:textId="77777777" w:rsidR="00073FF1" w:rsidRDefault="00073FF1" w:rsidP="00171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3885410"/>
      <w:docPartObj>
        <w:docPartGallery w:val="Page Numbers (Bottom of Page)"/>
        <w:docPartUnique/>
      </w:docPartObj>
    </w:sdtPr>
    <w:sdtEndPr>
      <w:rPr>
        <w:noProof/>
      </w:rPr>
    </w:sdtEndPr>
    <w:sdtContent>
      <w:p w14:paraId="4C8361EB" w14:textId="0F2B7B6A" w:rsidR="00AA7121" w:rsidRDefault="00AA7121">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BCD831B" w14:textId="77777777" w:rsidR="00AA7121" w:rsidRDefault="00AA712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350A4C" w14:textId="77777777" w:rsidR="00073FF1" w:rsidRDefault="00073FF1" w:rsidP="00171364">
      <w:pPr>
        <w:spacing w:after="0" w:line="240" w:lineRule="auto"/>
      </w:pPr>
      <w:r>
        <w:separator/>
      </w:r>
    </w:p>
  </w:footnote>
  <w:footnote w:type="continuationSeparator" w:id="0">
    <w:p w14:paraId="7FD61DE5" w14:textId="77777777" w:rsidR="00073FF1" w:rsidRDefault="00073FF1" w:rsidP="00171364">
      <w:pPr>
        <w:spacing w:after="0" w:line="240" w:lineRule="auto"/>
      </w:pPr>
      <w:r>
        <w:continuationSeparator/>
      </w:r>
    </w:p>
  </w:footnote>
  <w:footnote w:id="1">
    <w:p w14:paraId="7D1627F9" w14:textId="77777777" w:rsidR="00CC0FE1" w:rsidRPr="003F1C3A" w:rsidRDefault="00CC0FE1" w:rsidP="00743F1C">
      <w:pPr>
        <w:pStyle w:val="FootnoteText"/>
      </w:pPr>
      <w:r w:rsidRPr="003F1C3A">
        <w:rPr>
          <w:rStyle w:val="FootnoteReference"/>
        </w:rPr>
        <w:footnoteRef/>
      </w:r>
      <w:r w:rsidRPr="003F1C3A">
        <w:t xml:space="preserve"> The paper contains several further remarks bearing this interpretation out </w:t>
      </w:r>
      <w:r w:rsidRPr="003F1C3A">
        <w:fldChar w:fldCharType="begin"/>
      </w:r>
      <w:r>
        <w:instrText xml:space="preserve"> ADDIN ZOTERO_ITEM CSL_CITATION {"citationID":"K7ODSpZn","properties":{"formattedCitation":"(Douglas 2009, 454, 455, 457)","plainCitation":"(Douglas 2009, 454, 455, 457)"},"citationItems":[{"id":550,"uris":["http://zotero.org/users/270153/items/TME7K9KM"],"uri":["http://zotero.org/users/270153/items/TME7K9KM"],"itemData":{"id":550,"type":"article-journal","title":"Reintroducing Prediction to Explanation","container-title":"Philosophy of Science","page":"444-463","volume":"76","author":[{"family":"Douglas","given":"Heather"}],"issued":{"date-parts":[["2009"]]}},"locator":"454, 455, 457"}],"schema":"https://github.com/citation-style-language/schema/raw/master/csl-citation.json"} </w:instrText>
      </w:r>
      <w:r w:rsidRPr="003F1C3A">
        <w:fldChar w:fldCharType="separate"/>
      </w:r>
      <w:r w:rsidRPr="003F1C3A">
        <w:t>(Douglas 2009, 454, 455, 457)</w:t>
      </w:r>
      <w:r w:rsidRPr="003F1C3A">
        <w:fldChar w:fldCharType="end"/>
      </w:r>
      <w:r w:rsidRPr="003F1C3A">
        <w:t>.</w:t>
      </w:r>
    </w:p>
  </w:footnote>
  <w:footnote w:id="2">
    <w:p w14:paraId="67447966" w14:textId="2A777763" w:rsidR="00CC0FE1" w:rsidRPr="00EE6D8A" w:rsidRDefault="00CC0FE1">
      <w:pPr>
        <w:pStyle w:val="FootnoteText"/>
        <w:rPr>
          <w:lang w:val="en-US"/>
        </w:rPr>
      </w:pPr>
      <w:r>
        <w:rPr>
          <w:rStyle w:val="FootnoteReference"/>
        </w:rPr>
        <w:footnoteRef/>
      </w:r>
      <w:r>
        <w:t xml:space="preserve"> This denial of the </w:t>
      </w:r>
      <w:proofErr w:type="spellStart"/>
      <w:r>
        <w:t>factive</w:t>
      </w:r>
      <w:proofErr w:type="spellEnd"/>
      <w:r>
        <w:t xml:space="preserve"> notion of prediction is central to my motivation for working on this topic. I want to escape the “winner takes all” attitude to </w:t>
      </w:r>
      <w:proofErr w:type="gramStart"/>
      <w:r>
        <w:t>predictions that dominates</w:t>
      </w:r>
      <w:proofErr w:type="gramEnd"/>
      <w:r>
        <w:t xml:space="preserve"> public debates about climate change, the economy, and other matters of great and general concern. </w:t>
      </w:r>
    </w:p>
  </w:footnote>
  <w:footnote w:id="3">
    <w:p w14:paraId="3456DCD3" w14:textId="591EE167" w:rsidR="00CC0FE1" w:rsidRPr="003F1C3A" w:rsidRDefault="00CC0FE1">
      <w:pPr>
        <w:pStyle w:val="FootnoteText"/>
      </w:pPr>
      <w:r w:rsidRPr="003F1C3A">
        <w:rPr>
          <w:rStyle w:val="FootnoteReference"/>
        </w:rPr>
        <w:footnoteRef/>
      </w:r>
      <w:r>
        <w:t xml:space="preserve"> I use</w:t>
      </w:r>
      <w:r w:rsidRPr="003F1C3A">
        <w:t xml:space="preserve"> “induction” to cover all kinds of non-deductive inference. Some authors employ a narrower sense of “induction”, closer </w:t>
      </w:r>
      <w:r>
        <w:t xml:space="preserve">to </w:t>
      </w:r>
      <w:r w:rsidRPr="003F1C3A">
        <w:t xml:space="preserve">Russell’s enumerative formulation of a Principle of Induction </w:t>
      </w:r>
      <w:r w:rsidRPr="003F1C3A">
        <w:fldChar w:fldCharType="begin"/>
      </w:r>
      <w:r>
        <w:instrText xml:space="preserve"> ADDIN ZOTERO_ITEM CSL_CITATION {"citationID":"BMXj2eRo","properties":{"formattedCitation":"(Russell 1912 Ch 6)","plainCitation":"(Russell 1912 Ch 6)"},"citationItems":[{"id":317,"uris":["http://zotero.org/users/270153/items/T5ZTX9XD"],"uri":["http://zotero.org/users/270153/items/T5ZTX9XD"],"itemData":{"id":317,"type":"book","title":"The Problems of Philosophy","collection-title":"Great Books in Philosophy","publisher":"Prometheus Books","publisher-place":"Buffalo, New York","edition":"1988","event-place":"Buffalo, New York","author":[{"family":"Russell","given":"Bertrand"}],"issued":{"date-parts":[["1912"]]}},"suffix":"Ch 6"}],"schema":"https://github.com/citation-style-language/schema/raw/master/csl-citation.json"} </w:instrText>
      </w:r>
      <w:r w:rsidRPr="003F1C3A">
        <w:fldChar w:fldCharType="separate"/>
      </w:r>
      <w:r w:rsidRPr="003F1C3A">
        <w:t>(Russell 1912 Ch 6)</w:t>
      </w:r>
      <w:r w:rsidRPr="003F1C3A">
        <w:fldChar w:fldCharType="end"/>
      </w:r>
      <w:r w:rsidRPr="003F1C3A">
        <w:t xml:space="preserve">, and treat </w:t>
      </w:r>
      <w:r>
        <w:t>“</w:t>
      </w:r>
      <w:r w:rsidRPr="003F1C3A">
        <w:t>abduction</w:t>
      </w:r>
      <w:r>
        <w:t>”</w:t>
      </w:r>
      <w:r w:rsidRPr="003F1C3A">
        <w:t xml:space="preserve"> or </w:t>
      </w:r>
      <w:r>
        <w:t>“</w:t>
      </w:r>
      <w:r w:rsidRPr="003F1C3A">
        <w:t>inference to the best explanation</w:t>
      </w:r>
      <w:r>
        <w:t>”</w:t>
      </w:r>
      <w:r w:rsidRPr="003F1C3A">
        <w:t xml:space="preserve"> separately. But given the difficulty of even describing and hence distinguishing non-deductive inferences with any degree of rigour </w:t>
      </w:r>
      <w:r w:rsidRPr="003F1C3A">
        <w:fldChar w:fldCharType="begin"/>
      </w:r>
      <w:r>
        <w:instrText xml:space="preserve"> ADDIN ZOTERO_ITEM CSL_CITATION {"citationID":"4Kv7cdZB","properties":{"formattedCitation":"(C. G. Hempel 1945a; Goodman 1983 Ch 3)","plainCitation":"(C. G. Hempel 1945a; Goodman 1983 Ch 3)"},"citationItems":[{"id":490,"uris":["http://zotero.org/users/270153/items/2MJTBI69"],"uri":["http://zotero.org/users/270153/items/2MJTBI69"],"itemData":{"id":490,"type":"article-journal","title":"Studies in the Logic of Confirmation (I.)","container-title":"Mind","page":"1-26","volume":"54","author":[{"family":"Hempel","given":"Carl G."}],"issued":{"date-parts":[["1945"]]}}},{"id":305,"uris":["http://zotero.org/users/270153/items/MZTTIVET"],"uri":["http://zotero.org/users/270153/items/MZTTIVET"],"itemData":{"id":305,"type":"book","title":"Fact, Fiction and Forecast","publisher":"Harvard University Press","publisher-place":"Cambridge, Massachusetts","edition":"Fourth","event-place":"Cambridge, Massachusetts","author":[{"family":"Goodman","given":"Nelson"}],"issued":{"date-parts":[["1983"]]}},"suffix":"Ch 3"}],"schema":"https://github.com/citation-style-language/schema/raw/master/csl-citation.json"} </w:instrText>
      </w:r>
      <w:r w:rsidRPr="003F1C3A">
        <w:fldChar w:fldCharType="separate"/>
      </w:r>
      <w:r w:rsidRPr="003F1C3A">
        <w:t>(C. G. Hempel 1945a; Goodman 1983 Ch 3)</w:t>
      </w:r>
      <w:r w:rsidRPr="003F1C3A">
        <w:fldChar w:fldCharType="end"/>
      </w:r>
      <w:r w:rsidRPr="003F1C3A">
        <w:t xml:space="preserve">, I use the term “induction” to refer to all non-deductive inferences. One might reasonably ask what makes them </w:t>
      </w:r>
      <w:proofErr w:type="gramStart"/>
      <w:r w:rsidRPr="003F1C3A">
        <w:t>inferences; that is</w:t>
      </w:r>
      <w:proofErr w:type="gramEnd"/>
      <w:r w:rsidRPr="003F1C3A">
        <w:t xml:space="preserve"> tantamount to asking what induction is.</w:t>
      </w:r>
    </w:p>
  </w:footnote>
  <w:footnote w:id="4">
    <w:p w14:paraId="111D0C00" w14:textId="073574FB" w:rsidR="00A10CE3" w:rsidRPr="00A10CE3" w:rsidRDefault="00A10CE3">
      <w:pPr>
        <w:pStyle w:val="FootnoteText"/>
        <w:rPr>
          <w:lang w:val="en-US"/>
        </w:rPr>
      </w:pPr>
      <w:r>
        <w:rPr>
          <w:rStyle w:val="FootnoteReference"/>
        </w:rPr>
        <w:footnoteRef/>
      </w:r>
      <w:r>
        <w:t xml:space="preserve"> If you are for some reason allergic to ceteris paribus clauses, or if you believe there are non-ceteris-paribus laws, then the external question becomes whether all the initial conditions are as the prediction supposes them to be.</w:t>
      </w:r>
    </w:p>
  </w:footnote>
  <w:footnote w:id="5">
    <w:p w14:paraId="278B4A07" w14:textId="42903F09" w:rsidR="007421FA" w:rsidRPr="007421FA" w:rsidRDefault="007421FA">
      <w:pPr>
        <w:pStyle w:val="FootnoteText"/>
        <w:rPr>
          <w:lang w:val="en-US"/>
        </w:rPr>
      </w:pPr>
      <w:r>
        <w:rPr>
          <w:rStyle w:val="FootnoteReference"/>
        </w:rPr>
        <w:footnoteRef/>
      </w:r>
      <w:r>
        <w:t xml:space="preserve"> </w:t>
      </w:r>
      <w:r>
        <w:rPr>
          <w:lang w:val="en-US"/>
        </w:rPr>
        <w:t xml:space="preserve">This is analogous to the situation with causal explanation. To be at all useful, an explanation must cite not merely any cause, but a cause that is a difference between the causal history of the </w:t>
      </w:r>
      <w:proofErr w:type="spellStart"/>
      <w:r>
        <w:rPr>
          <w:lang w:val="en-US"/>
        </w:rPr>
        <w:t>explanandum</w:t>
      </w:r>
      <w:proofErr w:type="spellEnd"/>
      <w:r>
        <w:rPr>
          <w:lang w:val="en-US"/>
        </w:rPr>
        <w:t xml:space="preserve"> and the causal history of its non-occurrence. This point is discussed further below in Section </w:t>
      </w:r>
      <w:r>
        <w:rPr>
          <w:lang w:val="en-US"/>
        </w:rPr>
        <w:fldChar w:fldCharType="begin"/>
      </w:r>
      <w:r>
        <w:rPr>
          <w:lang w:val="en-US"/>
        </w:rPr>
        <w:instrText xml:space="preserve"> REF _Ref349132758 \r \h </w:instrText>
      </w:r>
      <w:r>
        <w:rPr>
          <w:lang w:val="en-US"/>
        </w:rPr>
      </w:r>
      <w:r>
        <w:rPr>
          <w:lang w:val="en-US"/>
        </w:rPr>
        <w:fldChar w:fldCharType="separate"/>
      </w:r>
      <w:r w:rsidR="00865753">
        <w:rPr>
          <w:lang w:val="en-US"/>
        </w:rPr>
        <w:t>V</w:t>
      </w:r>
      <w:r>
        <w:rPr>
          <w:lang w:val="en-US"/>
        </w:rPr>
        <w:fldChar w:fldCharType="end"/>
      </w:r>
      <w:r>
        <w:rPr>
          <w:lang w:val="en-US"/>
        </w:rPr>
        <w:t>.</w:t>
      </w:r>
    </w:p>
  </w:footnote>
  <w:footnote w:id="6">
    <w:p w14:paraId="34358C8B" w14:textId="4D454FA7" w:rsidR="007421FA" w:rsidRPr="007421FA" w:rsidRDefault="007421FA">
      <w:pPr>
        <w:pStyle w:val="FootnoteText"/>
        <w:rPr>
          <w:lang w:val="en-US"/>
        </w:rPr>
      </w:pPr>
      <w:r>
        <w:rPr>
          <w:rStyle w:val="FootnoteReference"/>
        </w:rPr>
        <w:footnoteRef/>
      </w:r>
      <w:r>
        <w:t xml:space="preserve"> There are theories of causation, including my own, on which the foregoing is not true. Elsewhere I have argued that a radically “unselective” </w:t>
      </w:r>
      <w:r>
        <w:fldChar w:fldCharType="begin"/>
      </w:r>
      <w:r>
        <w:instrText xml:space="preserve"> ADDIN ZOTERO_ITEM CSL_CITATION {"citationID":"1uyFlLeY","properties":{"formattedCitation":"(Lewis 1973, 559)","plainCitation":"(Lewis 1973, 559)"},"citationItems":[{"id":95,"uris":["http://zotero.org/users/270153/items/86PGNGN5"],"uri":["http://zotero.org/users/270153/items/86PGNGN5"],"itemData":{"id":95,"type":"article-journal","title":"Causation","container-title":"The Journal of Philosophy","page":"556-567","volume":"70","issue":"17","source":"JSTOR","ISSN":"0022362X","note":"ArticleType: primary_article / Issue Title: Seventieth Annual Meeting of the American Philosophical Association Eastern Division / Full publication date: Oct. 11, 1973 / Copyright © 1973 Journal of Philosophy, Inc.","author":[{"family":"Lewis","given":"David"}],"issued":{"date-parts":[["1973"]]},"accessed":{"date-parts":[["2010",8,5]]}},"locator":"559"}],"schema":"https://github.com/citation-style-language/schema/raw/master/csl-citation.json"} </w:instrText>
      </w:r>
      <w:r>
        <w:fldChar w:fldCharType="separate"/>
      </w:r>
      <w:r w:rsidRPr="005A7FB2">
        <w:rPr>
          <w:rFonts w:ascii="Cambria" w:hAnsi="Cambria"/>
        </w:rPr>
        <w:t>(Lewis 1973, 559)</w:t>
      </w:r>
      <w:r>
        <w:fldChar w:fldCharType="end"/>
      </w:r>
      <w:r>
        <w:t xml:space="preserve"> or “egalitarian” </w:t>
      </w:r>
      <w:r>
        <w:fldChar w:fldCharType="begin"/>
      </w:r>
      <w:r>
        <w:instrText xml:space="preserve"> ADDIN ZOTERO_ITEM CSL_CITATION {"citationID":"9E3pvmRC","properties":{"formattedCitation":"(Hall 2004, 112)","plainCitation":"(Hall 2004, 112)"},"citationItems":[{"id":300,"uris":["http://zotero.org/users/270153/items/MNNJ6D4T"],"uri":["http://zotero.org/users/270153/items/MNNJ6D4T"],"itemData":{"id":300,"type":"chapter","title":"Causation and the Price of Transitivity","container-title":"Causation and Counterfactuals","publisher":"MIT Press","publisher-place":"Cambridge, Massachusetts","page":"181―204","event-place":"Cambridge, Massachusetts","author":[{"family":"Hall","given":"Ned"}],"editor":[{"family":"Collins","given":"J."},{"family":"Hall","given":"N."},{"family":"Paul","given":"L. A"}],"issued":{"date-parts":[["2004"]]}},"locator":"112"}],"schema":"https://github.com/citation-style-language/schema/raw/master/csl-citation.json"} </w:instrText>
      </w:r>
      <w:r>
        <w:fldChar w:fldCharType="separate"/>
      </w:r>
      <w:r w:rsidRPr="005A7FB2">
        <w:rPr>
          <w:rFonts w:ascii="Cambria" w:hAnsi="Cambria"/>
        </w:rPr>
        <w:t>(Hall 2004, 112)</w:t>
      </w:r>
      <w:r>
        <w:fldChar w:fldCharType="end"/>
      </w:r>
      <w:r>
        <w:t xml:space="preserve"> notion of causation does not do justice to the use we make of causal knowledge in predictive and other contexts [author refs]. Jonathan Schaffer’s contrastive theory of causation likewise gives resources to deny some of the causal claims above </w:t>
      </w:r>
      <w:r>
        <w:fldChar w:fldCharType="begin"/>
      </w:r>
      <w:r>
        <w:instrText xml:space="preserve"> ADDIN ZOTERO_ITEM CSL_CITATION {"citationID":"z9Ah8sur","properties":{"formattedCitation":"{\\rtf (Schaffer 2005, 342\\uc0\\u8211{}6; Schaffer 2010; see also remarks on selection in Schaffer 2007)}","plainCitation":"(Schaffer 2005, 342–6; Schaffer 2010; see also remarks on selection in Schaffer 2007)"},"citationItems":[{"id":464,"uris":["http://zotero.org/users/270153/items/ZMTRFNMR"],"uri":["http://zotero.org/users/270153/items/ZMTRFNMR"],"itemData":{"id":464,"type":"article-journal","title":"Contrastive Causation","container-title":"Philosophical Review","page":"297-328","volume":"114","issue":"3","author":[{"family":"Schaffer","given":"Jonathan"}],"issued":{"date-parts":[["2005"]]}},"locator":"342-6"},{"id":332,"uris":["http://zotero.org/users/270153/items/2IARS73Z"],"uri":["http://zotero.org/users/270153/items/2IARS73Z"],"itemData":{"id":332,"type":"article-journal","title":"Contrastive Causation in the Law","container-title":"Legal Theory","page":"259-297","volume":"16","author":[{"family":"Schaffer","given":"Jonathan"}],"issued":{"date-parts":[["2010"]]}}},{"id":310,"uris":["http://zotero.org/users/270153/items/NAJSJIT3"],"uri":["http://zotero.org/users/270153/items/NAJSJIT3"],"itemData":{"id":310,"type":"article-journal","title":"The Metaphysics of Causation","container-title":"Stanford Encyclopedia of Philosophy","URL":"http://plato.stanford.edu/entries/causation-metaphysics/","author":[{"family":"Schaffer","given":"Jonathan"}],"issued":{"date-parts":[["2007"]]}},"prefix":"see also remarks on selection in"}],"schema":"https://github.com/citation-style-language/schema/raw/master/csl-citation.json"} </w:instrText>
      </w:r>
      <w:r>
        <w:fldChar w:fldCharType="separate"/>
      </w:r>
      <w:r w:rsidRPr="005A7FB2">
        <w:rPr>
          <w:rFonts w:ascii="Cambria" w:hAnsi="Cambria" w:cs="Times New Roman"/>
          <w:szCs w:val="24"/>
        </w:rPr>
        <w:t>(Schaffer 2005, 342–6; Schaffer 2010; see also remarks on selection in Schaffer 2007)</w:t>
      </w:r>
      <w:r>
        <w:fldChar w:fldCharType="end"/>
      </w:r>
      <w:r>
        <w:t>. But for sake of argument I shall in this section adopt the widely-held unselective or egalitarian posture that anything featuring in the causal history of an event is equally a cause of that event.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E1B516" w14:textId="77777777" w:rsidR="00AA7121" w:rsidRPr="00AA7121" w:rsidRDefault="00AA7121">
    <w:pPr>
      <w:pStyle w:val="Header"/>
      <w:rPr>
        <w:i/>
      </w:rPr>
    </w:pPr>
    <w:r>
      <w:t>DRAFT: DO NOT CITE WITHOUT PERMISSION.</w:t>
    </w:r>
    <w:r>
      <w:tab/>
    </w:r>
    <w:r w:rsidRPr="00AA7121">
      <w:rPr>
        <w:i/>
      </w:rPr>
      <w:t>Alex Broadbent</w:t>
    </w:r>
  </w:p>
  <w:p w14:paraId="52908305" w14:textId="51ABC405" w:rsidR="00AA7121" w:rsidRPr="00AA7121" w:rsidRDefault="00AA7121">
    <w:pPr>
      <w:pStyle w:val="Header"/>
      <w:rPr>
        <w:i/>
      </w:rPr>
    </w:pPr>
    <w:r w:rsidRPr="00AA7121">
      <w:rPr>
        <w:i/>
      </w:rPr>
      <w:tab/>
    </w:r>
    <w:r w:rsidRPr="00AA7121">
      <w:rPr>
        <w:i/>
      </w:rPr>
      <w:tab/>
      <w:t>abbroadbent@uj.ac.za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E4719"/>
    <w:multiLevelType w:val="hybridMultilevel"/>
    <w:tmpl w:val="8F564B1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116C1154"/>
    <w:multiLevelType w:val="hybridMultilevel"/>
    <w:tmpl w:val="8F4841FA"/>
    <w:lvl w:ilvl="0" w:tplc="AA089D1A">
      <w:numFmt w:val="bullet"/>
      <w:lvlText w:val="-"/>
      <w:lvlJc w:val="left"/>
      <w:pPr>
        <w:ind w:left="720" w:hanging="360"/>
      </w:pPr>
      <w:rPr>
        <w:rFonts w:ascii="Calibri" w:eastAsiaTheme="minorHAnsi"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2D42664D"/>
    <w:multiLevelType w:val="hybridMultilevel"/>
    <w:tmpl w:val="B76659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3049130B"/>
    <w:multiLevelType w:val="multilevel"/>
    <w:tmpl w:val="1C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nsid w:val="46317E7B"/>
    <w:multiLevelType w:val="hybridMultilevel"/>
    <w:tmpl w:val="0A3AA8C2"/>
    <w:lvl w:ilvl="0" w:tplc="AA089D1A">
      <w:numFmt w:val="bullet"/>
      <w:lvlText w:val="-"/>
      <w:lvlJc w:val="left"/>
      <w:pPr>
        <w:ind w:left="720" w:hanging="360"/>
      </w:pPr>
      <w:rPr>
        <w:rFonts w:ascii="Calibri" w:eastAsiaTheme="minorHAnsi"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5D141E24"/>
    <w:multiLevelType w:val="hybridMultilevel"/>
    <w:tmpl w:val="17A42C36"/>
    <w:lvl w:ilvl="0" w:tplc="EBC2FD6E">
      <w:numFmt w:val="bullet"/>
      <w:lvlText w:val=""/>
      <w:lvlJc w:val="left"/>
      <w:pPr>
        <w:ind w:left="720" w:hanging="360"/>
      </w:pPr>
      <w:rPr>
        <w:rFonts w:ascii="Wingdings" w:eastAsiaTheme="majorEastAsia" w:hAnsi="Wingdings" w:cstheme="maj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6D372331"/>
    <w:multiLevelType w:val="hybridMultilevel"/>
    <w:tmpl w:val="8C342EC0"/>
    <w:lvl w:ilvl="0" w:tplc="1C090001">
      <w:start w:val="1"/>
      <w:numFmt w:val="bullet"/>
      <w:lvlText w:val=""/>
      <w:lvlJc w:val="left"/>
      <w:pPr>
        <w:ind w:left="765" w:hanging="360"/>
      </w:pPr>
      <w:rPr>
        <w:rFonts w:ascii="Symbol" w:hAnsi="Symbol" w:hint="default"/>
      </w:rPr>
    </w:lvl>
    <w:lvl w:ilvl="1" w:tplc="1C090003" w:tentative="1">
      <w:start w:val="1"/>
      <w:numFmt w:val="bullet"/>
      <w:lvlText w:val="o"/>
      <w:lvlJc w:val="left"/>
      <w:pPr>
        <w:ind w:left="1485" w:hanging="360"/>
      </w:pPr>
      <w:rPr>
        <w:rFonts w:ascii="Courier New" w:hAnsi="Courier New" w:cs="Courier New" w:hint="default"/>
      </w:rPr>
    </w:lvl>
    <w:lvl w:ilvl="2" w:tplc="1C090005" w:tentative="1">
      <w:start w:val="1"/>
      <w:numFmt w:val="bullet"/>
      <w:lvlText w:val=""/>
      <w:lvlJc w:val="left"/>
      <w:pPr>
        <w:ind w:left="2205" w:hanging="360"/>
      </w:pPr>
      <w:rPr>
        <w:rFonts w:ascii="Wingdings" w:hAnsi="Wingdings" w:hint="default"/>
      </w:rPr>
    </w:lvl>
    <w:lvl w:ilvl="3" w:tplc="1C090001" w:tentative="1">
      <w:start w:val="1"/>
      <w:numFmt w:val="bullet"/>
      <w:lvlText w:val=""/>
      <w:lvlJc w:val="left"/>
      <w:pPr>
        <w:ind w:left="2925" w:hanging="360"/>
      </w:pPr>
      <w:rPr>
        <w:rFonts w:ascii="Symbol" w:hAnsi="Symbol" w:hint="default"/>
      </w:rPr>
    </w:lvl>
    <w:lvl w:ilvl="4" w:tplc="1C090003" w:tentative="1">
      <w:start w:val="1"/>
      <w:numFmt w:val="bullet"/>
      <w:lvlText w:val="o"/>
      <w:lvlJc w:val="left"/>
      <w:pPr>
        <w:ind w:left="3645" w:hanging="360"/>
      </w:pPr>
      <w:rPr>
        <w:rFonts w:ascii="Courier New" w:hAnsi="Courier New" w:cs="Courier New" w:hint="default"/>
      </w:rPr>
    </w:lvl>
    <w:lvl w:ilvl="5" w:tplc="1C090005" w:tentative="1">
      <w:start w:val="1"/>
      <w:numFmt w:val="bullet"/>
      <w:lvlText w:val=""/>
      <w:lvlJc w:val="left"/>
      <w:pPr>
        <w:ind w:left="4365" w:hanging="360"/>
      </w:pPr>
      <w:rPr>
        <w:rFonts w:ascii="Wingdings" w:hAnsi="Wingdings" w:hint="default"/>
      </w:rPr>
    </w:lvl>
    <w:lvl w:ilvl="6" w:tplc="1C090001" w:tentative="1">
      <w:start w:val="1"/>
      <w:numFmt w:val="bullet"/>
      <w:lvlText w:val=""/>
      <w:lvlJc w:val="left"/>
      <w:pPr>
        <w:ind w:left="5085" w:hanging="360"/>
      </w:pPr>
      <w:rPr>
        <w:rFonts w:ascii="Symbol" w:hAnsi="Symbol" w:hint="default"/>
      </w:rPr>
    </w:lvl>
    <w:lvl w:ilvl="7" w:tplc="1C090003" w:tentative="1">
      <w:start w:val="1"/>
      <w:numFmt w:val="bullet"/>
      <w:lvlText w:val="o"/>
      <w:lvlJc w:val="left"/>
      <w:pPr>
        <w:ind w:left="5805" w:hanging="360"/>
      </w:pPr>
      <w:rPr>
        <w:rFonts w:ascii="Courier New" w:hAnsi="Courier New" w:cs="Courier New" w:hint="default"/>
      </w:rPr>
    </w:lvl>
    <w:lvl w:ilvl="8" w:tplc="1C090005" w:tentative="1">
      <w:start w:val="1"/>
      <w:numFmt w:val="bullet"/>
      <w:lvlText w:val=""/>
      <w:lvlJc w:val="left"/>
      <w:pPr>
        <w:ind w:left="6525"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506F"/>
    <w:rsid w:val="000075BB"/>
    <w:rsid w:val="00014DB9"/>
    <w:rsid w:val="00032DF2"/>
    <w:rsid w:val="000424B4"/>
    <w:rsid w:val="000452A3"/>
    <w:rsid w:val="00054EB7"/>
    <w:rsid w:val="000616CC"/>
    <w:rsid w:val="00063D8F"/>
    <w:rsid w:val="00066995"/>
    <w:rsid w:val="00073FF1"/>
    <w:rsid w:val="00074B09"/>
    <w:rsid w:val="00075EBF"/>
    <w:rsid w:val="00077B6E"/>
    <w:rsid w:val="0008102B"/>
    <w:rsid w:val="000A4EC2"/>
    <w:rsid w:val="000B5E2D"/>
    <w:rsid w:val="000D0BC8"/>
    <w:rsid w:val="000D2DE6"/>
    <w:rsid w:val="000E48D6"/>
    <w:rsid w:val="000F2B5B"/>
    <w:rsid w:val="000F4BEF"/>
    <w:rsid w:val="00115A81"/>
    <w:rsid w:val="00136C47"/>
    <w:rsid w:val="00136FDE"/>
    <w:rsid w:val="00154CB4"/>
    <w:rsid w:val="00156311"/>
    <w:rsid w:val="00160B04"/>
    <w:rsid w:val="00171364"/>
    <w:rsid w:val="00176EF1"/>
    <w:rsid w:val="001812CB"/>
    <w:rsid w:val="00186F55"/>
    <w:rsid w:val="0019401F"/>
    <w:rsid w:val="001B23BA"/>
    <w:rsid w:val="001B7091"/>
    <w:rsid w:val="001E5633"/>
    <w:rsid w:val="001F46D1"/>
    <w:rsid w:val="001F6F97"/>
    <w:rsid w:val="001F72AA"/>
    <w:rsid w:val="001F7A78"/>
    <w:rsid w:val="00200B10"/>
    <w:rsid w:val="002239BB"/>
    <w:rsid w:val="00236ABB"/>
    <w:rsid w:val="002454B9"/>
    <w:rsid w:val="0024598F"/>
    <w:rsid w:val="00255445"/>
    <w:rsid w:val="0027042A"/>
    <w:rsid w:val="00273C3A"/>
    <w:rsid w:val="00275B85"/>
    <w:rsid w:val="00285162"/>
    <w:rsid w:val="002932B4"/>
    <w:rsid w:val="002937C8"/>
    <w:rsid w:val="002A6B28"/>
    <w:rsid w:val="002E4573"/>
    <w:rsid w:val="002E774B"/>
    <w:rsid w:val="002F08AE"/>
    <w:rsid w:val="002F51C6"/>
    <w:rsid w:val="003001B4"/>
    <w:rsid w:val="00313663"/>
    <w:rsid w:val="00334DE8"/>
    <w:rsid w:val="003363C8"/>
    <w:rsid w:val="003561A5"/>
    <w:rsid w:val="003614DC"/>
    <w:rsid w:val="00366956"/>
    <w:rsid w:val="00375EAC"/>
    <w:rsid w:val="003804B1"/>
    <w:rsid w:val="00380F9B"/>
    <w:rsid w:val="00383149"/>
    <w:rsid w:val="00384EDE"/>
    <w:rsid w:val="00395377"/>
    <w:rsid w:val="003A34E7"/>
    <w:rsid w:val="003B7EE4"/>
    <w:rsid w:val="003C2274"/>
    <w:rsid w:val="003C22A9"/>
    <w:rsid w:val="003C4957"/>
    <w:rsid w:val="003C50AF"/>
    <w:rsid w:val="003E5117"/>
    <w:rsid w:val="003E72BD"/>
    <w:rsid w:val="003F1C3A"/>
    <w:rsid w:val="003F3155"/>
    <w:rsid w:val="00403013"/>
    <w:rsid w:val="00405742"/>
    <w:rsid w:val="00405C9B"/>
    <w:rsid w:val="0041683F"/>
    <w:rsid w:val="00420406"/>
    <w:rsid w:val="0042309C"/>
    <w:rsid w:val="00424D92"/>
    <w:rsid w:val="004278ED"/>
    <w:rsid w:val="004432C5"/>
    <w:rsid w:val="00463864"/>
    <w:rsid w:val="00470874"/>
    <w:rsid w:val="00477EDE"/>
    <w:rsid w:val="004921B1"/>
    <w:rsid w:val="004A0759"/>
    <w:rsid w:val="004A396E"/>
    <w:rsid w:val="004A638A"/>
    <w:rsid w:val="004C12D4"/>
    <w:rsid w:val="004C6659"/>
    <w:rsid w:val="004F36A5"/>
    <w:rsid w:val="00527555"/>
    <w:rsid w:val="00535FFF"/>
    <w:rsid w:val="00544362"/>
    <w:rsid w:val="00545383"/>
    <w:rsid w:val="005468A1"/>
    <w:rsid w:val="005479C7"/>
    <w:rsid w:val="00550DFA"/>
    <w:rsid w:val="00554721"/>
    <w:rsid w:val="00590E77"/>
    <w:rsid w:val="00596684"/>
    <w:rsid w:val="005A7FB2"/>
    <w:rsid w:val="005B4AE6"/>
    <w:rsid w:val="005B52B3"/>
    <w:rsid w:val="005B66D7"/>
    <w:rsid w:val="005B7E36"/>
    <w:rsid w:val="005C0A10"/>
    <w:rsid w:val="005C55FE"/>
    <w:rsid w:val="005C57AC"/>
    <w:rsid w:val="005C68FC"/>
    <w:rsid w:val="005D07DB"/>
    <w:rsid w:val="005E21A7"/>
    <w:rsid w:val="005F1BCE"/>
    <w:rsid w:val="005F324F"/>
    <w:rsid w:val="005F66DF"/>
    <w:rsid w:val="00602BB1"/>
    <w:rsid w:val="00602CF8"/>
    <w:rsid w:val="00612DCB"/>
    <w:rsid w:val="00614DE9"/>
    <w:rsid w:val="00616EA3"/>
    <w:rsid w:val="00617B35"/>
    <w:rsid w:val="00621BDA"/>
    <w:rsid w:val="0063037E"/>
    <w:rsid w:val="00630D5A"/>
    <w:rsid w:val="006454C8"/>
    <w:rsid w:val="00656065"/>
    <w:rsid w:val="00681F76"/>
    <w:rsid w:val="00686F1A"/>
    <w:rsid w:val="00690DC7"/>
    <w:rsid w:val="006913EA"/>
    <w:rsid w:val="006948B6"/>
    <w:rsid w:val="006A43A4"/>
    <w:rsid w:val="006A4A16"/>
    <w:rsid w:val="006A4A8F"/>
    <w:rsid w:val="006A7AC5"/>
    <w:rsid w:val="006C67FC"/>
    <w:rsid w:val="006C6C95"/>
    <w:rsid w:val="006C6F1D"/>
    <w:rsid w:val="006C790D"/>
    <w:rsid w:val="006D49EA"/>
    <w:rsid w:val="006F6B92"/>
    <w:rsid w:val="007002B5"/>
    <w:rsid w:val="00727097"/>
    <w:rsid w:val="007421FA"/>
    <w:rsid w:val="00742AF5"/>
    <w:rsid w:val="00743F1C"/>
    <w:rsid w:val="00756702"/>
    <w:rsid w:val="00760F4C"/>
    <w:rsid w:val="00762E78"/>
    <w:rsid w:val="0077295E"/>
    <w:rsid w:val="007951FB"/>
    <w:rsid w:val="007A1F42"/>
    <w:rsid w:val="007B14AD"/>
    <w:rsid w:val="007C0312"/>
    <w:rsid w:val="007C2742"/>
    <w:rsid w:val="007C598B"/>
    <w:rsid w:val="007C6877"/>
    <w:rsid w:val="007E6395"/>
    <w:rsid w:val="007F2E5F"/>
    <w:rsid w:val="00805215"/>
    <w:rsid w:val="00814D4B"/>
    <w:rsid w:val="00816D70"/>
    <w:rsid w:val="008329C0"/>
    <w:rsid w:val="00844D09"/>
    <w:rsid w:val="00851B39"/>
    <w:rsid w:val="00852701"/>
    <w:rsid w:val="00865753"/>
    <w:rsid w:val="00881A23"/>
    <w:rsid w:val="00897827"/>
    <w:rsid w:val="008B1FE3"/>
    <w:rsid w:val="008C12E2"/>
    <w:rsid w:val="008C49C9"/>
    <w:rsid w:val="008D18BA"/>
    <w:rsid w:val="008D62C9"/>
    <w:rsid w:val="008E31DA"/>
    <w:rsid w:val="008E6CBD"/>
    <w:rsid w:val="0092400F"/>
    <w:rsid w:val="00932596"/>
    <w:rsid w:val="0093468D"/>
    <w:rsid w:val="009408E2"/>
    <w:rsid w:val="00941B30"/>
    <w:rsid w:val="00944E4A"/>
    <w:rsid w:val="0094530F"/>
    <w:rsid w:val="00947387"/>
    <w:rsid w:val="009626B2"/>
    <w:rsid w:val="00964215"/>
    <w:rsid w:val="00981856"/>
    <w:rsid w:val="009837D4"/>
    <w:rsid w:val="00994CD2"/>
    <w:rsid w:val="009A5669"/>
    <w:rsid w:val="009A609F"/>
    <w:rsid w:val="009D1894"/>
    <w:rsid w:val="009D7C43"/>
    <w:rsid w:val="009E14B2"/>
    <w:rsid w:val="009E37E7"/>
    <w:rsid w:val="009E47A0"/>
    <w:rsid w:val="009E4B59"/>
    <w:rsid w:val="009F14BE"/>
    <w:rsid w:val="009F14E0"/>
    <w:rsid w:val="009F7469"/>
    <w:rsid w:val="00A10CE3"/>
    <w:rsid w:val="00A11175"/>
    <w:rsid w:val="00A17389"/>
    <w:rsid w:val="00A17E41"/>
    <w:rsid w:val="00A17E6D"/>
    <w:rsid w:val="00A21DF4"/>
    <w:rsid w:val="00A244C6"/>
    <w:rsid w:val="00A276F4"/>
    <w:rsid w:val="00A60485"/>
    <w:rsid w:val="00A75334"/>
    <w:rsid w:val="00A81622"/>
    <w:rsid w:val="00A818E0"/>
    <w:rsid w:val="00A85017"/>
    <w:rsid w:val="00A95503"/>
    <w:rsid w:val="00A978DA"/>
    <w:rsid w:val="00AA7121"/>
    <w:rsid w:val="00AB654F"/>
    <w:rsid w:val="00AC3BDF"/>
    <w:rsid w:val="00AC7CE1"/>
    <w:rsid w:val="00AD26D0"/>
    <w:rsid w:val="00AE12B6"/>
    <w:rsid w:val="00AE394B"/>
    <w:rsid w:val="00AF0448"/>
    <w:rsid w:val="00AF638C"/>
    <w:rsid w:val="00B0348E"/>
    <w:rsid w:val="00B076C3"/>
    <w:rsid w:val="00B17224"/>
    <w:rsid w:val="00B410F0"/>
    <w:rsid w:val="00B5114F"/>
    <w:rsid w:val="00B523D6"/>
    <w:rsid w:val="00B56469"/>
    <w:rsid w:val="00B633DB"/>
    <w:rsid w:val="00B74457"/>
    <w:rsid w:val="00B76DF5"/>
    <w:rsid w:val="00B87F0F"/>
    <w:rsid w:val="00B925CB"/>
    <w:rsid w:val="00BA6281"/>
    <w:rsid w:val="00BB17EC"/>
    <w:rsid w:val="00BB53DD"/>
    <w:rsid w:val="00BC506F"/>
    <w:rsid w:val="00BD2794"/>
    <w:rsid w:val="00BD5DC3"/>
    <w:rsid w:val="00BD71B0"/>
    <w:rsid w:val="00BE3868"/>
    <w:rsid w:val="00BF1FEF"/>
    <w:rsid w:val="00BF57DB"/>
    <w:rsid w:val="00C02C1D"/>
    <w:rsid w:val="00C116F2"/>
    <w:rsid w:val="00C1302F"/>
    <w:rsid w:val="00C27E90"/>
    <w:rsid w:val="00C27F3A"/>
    <w:rsid w:val="00C43087"/>
    <w:rsid w:val="00C57CA0"/>
    <w:rsid w:val="00C74ED7"/>
    <w:rsid w:val="00C771AF"/>
    <w:rsid w:val="00CA1A37"/>
    <w:rsid w:val="00CB2F2F"/>
    <w:rsid w:val="00CB5031"/>
    <w:rsid w:val="00CC0FE1"/>
    <w:rsid w:val="00CC7A23"/>
    <w:rsid w:val="00CD2F7A"/>
    <w:rsid w:val="00CE27BC"/>
    <w:rsid w:val="00CF6A7A"/>
    <w:rsid w:val="00D031FD"/>
    <w:rsid w:val="00D04BEE"/>
    <w:rsid w:val="00D13FE5"/>
    <w:rsid w:val="00D17298"/>
    <w:rsid w:val="00D23DF2"/>
    <w:rsid w:val="00D41EF6"/>
    <w:rsid w:val="00D421FF"/>
    <w:rsid w:val="00D52CFA"/>
    <w:rsid w:val="00D62077"/>
    <w:rsid w:val="00D63934"/>
    <w:rsid w:val="00D63F7D"/>
    <w:rsid w:val="00D66375"/>
    <w:rsid w:val="00D71C9E"/>
    <w:rsid w:val="00D94DD5"/>
    <w:rsid w:val="00D97558"/>
    <w:rsid w:val="00DA3D41"/>
    <w:rsid w:val="00DA6A01"/>
    <w:rsid w:val="00DB256D"/>
    <w:rsid w:val="00DB6BB4"/>
    <w:rsid w:val="00DD08B3"/>
    <w:rsid w:val="00E07C28"/>
    <w:rsid w:val="00E07E40"/>
    <w:rsid w:val="00E32864"/>
    <w:rsid w:val="00E41F28"/>
    <w:rsid w:val="00E56FAB"/>
    <w:rsid w:val="00E6016A"/>
    <w:rsid w:val="00E65683"/>
    <w:rsid w:val="00E67D15"/>
    <w:rsid w:val="00E86133"/>
    <w:rsid w:val="00E910ED"/>
    <w:rsid w:val="00E93C6E"/>
    <w:rsid w:val="00EA1A8F"/>
    <w:rsid w:val="00EB2FAA"/>
    <w:rsid w:val="00EB5169"/>
    <w:rsid w:val="00EC0674"/>
    <w:rsid w:val="00EC4DCE"/>
    <w:rsid w:val="00EC5CA6"/>
    <w:rsid w:val="00ED4E1F"/>
    <w:rsid w:val="00EE6D8A"/>
    <w:rsid w:val="00F10428"/>
    <w:rsid w:val="00F14CF7"/>
    <w:rsid w:val="00F215BA"/>
    <w:rsid w:val="00F46FB8"/>
    <w:rsid w:val="00F50811"/>
    <w:rsid w:val="00F52763"/>
    <w:rsid w:val="00F733F3"/>
    <w:rsid w:val="00F76822"/>
    <w:rsid w:val="00F77429"/>
    <w:rsid w:val="00F90B6E"/>
    <w:rsid w:val="00F9304F"/>
    <w:rsid w:val="00FA0B46"/>
    <w:rsid w:val="00FA39F7"/>
    <w:rsid w:val="00FA71C4"/>
    <w:rsid w:val="00FB2535"/>
    <w:rsid w:val="00FB477D"/>
    <w:rsid w:val="00FB5375"/>
    <w:rsid w:val="00FB7091"/>
    <w:rsid w:val="00FC33E9"/>
    <w:rsid w:val="00FC4F86"/>
    <w:rsid w:val="00FC54A2"/>
    <w:rsid w:val="00FD52C7"/>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2340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1DF4"/>
    <w:pPr>
      <w:spacing w:line="480" w:lineRule="auto"/>
    </w:pPr>
    <w:rPr>
      <w:sz w:val="24"/>
    </w:rPr>
  </w:style>
  <w:style w:type="paragraph" w:styleId="Heading1">
    <w:name w:val="heading 1"/>
    <w:basedOn w:val="Normal"/>
    <w:next w:val="Normal"/>
    <w:link w:val="Heading1Char"/>
    <w:uiPriority w:val="9"/>
    <w:qFormat/>
    <w:rsid w:val="009408E2"/>
    <w:pPr>
      <w:keepNext/>
      <w:numPr>
        <w:numId w:val="6"/>
      </w:num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9408E2"/>
    <w:pPr>
      <w:keepNext/>
      <w:numPr>
        <w:ilvl w:val="1"/>
        <w:numId w:val="6"/>
      </w:numPr>
      <w:spacing w:before="200" w:after="0"/>
      <w:ind w:left="0"/>
      <w:outlineLvl w:val="1"/>
    </w:pPr>
    <w:rPr>
      <w:smallCaps/>
      <w:sz w:val="28"/>
      <w:szCs w:val="28"/>
    </w:rPr>
  </w:style>
  <w:style w:type="paragraph" w:styleId="Heading3">
    <w:name w:val="heading 3"/>
    <w:basedOn w:val="Normal"/>
    <w:next w:val="Normal"/>
    <w:link w:val="Heading3Char"/>
    <w:uiPriority w:val="9"/>
    <w:semiHidden/>
    <w:unhideWhenUsed/>
    <w:qFormat/>
    <w:rsid w:val="00EC5CA6"/>
    <w:pPr>
      <w:numPr>
        <w:ilvl w:val="2"/>
        <w:numId w:val="6"/>
      </w:num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EC5CA6"/>
    <w:pPr>
      <w:numPr>
        <w:ilvl w:val="3"/>
        <w:numId w:val="6"/>
      </w:numPr>
      <w:spacing w:after="0" w:line="271" w:lineRule="auto"/>
      <w:outlineLvl w:val="3"/>
    </w:pPr>
    <w:rPr>
      <w:b/>
      <w:bCs/>
      <w:spacing w:val="5"/>
      <w:szCs w:val="24"/>
    </w:rPr>
  </w:style>
  <w:style w:type="paragraph" w:styleId="Heading5">
    <w:name w:val="heading 5"/>
    <w:basedOn w:val="Normal"/>
    <w:next w:val="Normal"/>
    <w:link w:val="Heading5Char"/>
    <w:uiPriority w:val="9"/>
    <w:semiHidden/>
    <w:unhideWhenUsed/>
    <w:qFormat/>
    <w:rsid w:val="00EC5CA6"/>
    <w:pPr>
      <w:numPr>
        <w:ilvl w:val="4"/>
        <w:numId w:val="6"/>
      </w:numPr>
      <w:spacing w:after="0" w:line="271" w:lineRule="auto"/>
      <w:outlineLvl w:val="4"/>
    </w:pPr>
    <w:rPr>
      <w:i/>
      <w:iCs/>
      <w:szCs w:val="24"/>
    </w:rPr>
  </w:style>
  <w:style w:type="paragraph" w:styleId="Heading6">
    <w:name w:val="heading 6"/>
    <w:basedOn w:val="Normal"/>
    <w:next w:val="Normal"/>
    <w:link w:val="Heading6Char"/>
    <w:uiPriority w:val="9"/>
    <w:semiHidden/>
    <w:unhideWhenUsed/>
    <w:qFormat/>
    <w:rsid w:val="00EC5CA6"/>
    <w:pPr>
      <w:numPr>
        <w:ilvl w:val="5"/>
        <w:numId w:val="6"/>
      </w:num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EC5CA6"/>
    <w:pPr>
      <w:numPr>
        <w:ilvl w:val="6"/>
        <w:numId w:val="6"/>
      </w:num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EC5CA6"/>
    <w:pPr>
      <w:numPr>
        <w:ilvl w:val="7"/>
        <w:numId w:val="6"/>
      </w:num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EC5CA6"/>
    <w:pPr>
      <w:numPr>
        <w:ilvl w:val="8"/>
        <w:numId w:val="6"/>
      </w:num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5CA6"/>
    <w:pPr>
      <w:ind w:left="720"/>
      <w:contextualSpacing/>
    </w:pPr>
  </w:style>
  <w:style w:type="character" w:customStyle="1" w:styleId="Heading1Char">
    <w:name w:val="Heading 1 Char"/>
    <w:basedOn w:val="DefaultParagraphFont"/>
    <w:link w:val="Heading1"/>
    <w:uiPriority w:val="9"/>
    <w:rsid w:val="009408E2"/>
    <w:rPr>
      <w:smallCaps/>
      <w:spacing w:val="5"/>
      <w:sz w:val="36"/>
      <w:szCs w:val="36"/>
    </w:rPr>
  </w:style>
  <w:style w:type="character" w:customStyle="1" w:styleId="Heading2Char">
    <w:name w:val="Heading 2 Char"/>
    <w:basedOn w:val="DefaultParagraphFont"/>
    <w:link w:val="Heading2"/>
    <w:uiPriority w:val="9"/>
    <w:rsid w:val="009408E2"/>
    <w:rPr>
      <w:smallCaps/>
      <w:sz w:val="28"/>
      <w:szCs w:val="28"/>
    </w:rPr>
  </w:style>
  <w:style w:type="character" w:customStyle="1" w:styleId="Heading3Char">
    <w:name w:val="Heading 3 Char"/>
    <w:basedOn w:val="DefaultParagraphFont"/>
    <w:link w:val="Heading3"/>
    <w:uiPriority w:val="9"/>
    <w:semiHidden/>
    <w:rsid w:val="00EC5CA6"/>
    <w:rPr>
      <w:i/>
      <w:iCs/>
      <w:smallCaps/>
      <w:spacing w:val="5"/>
      <w:sz w:val="26"/>
      <w:szCs w:val="26"/>
    </w:rPr>
  </w:style>
  <w:style w:type="character" w:customStyle="1" w:styleId="Heading4Char">
    <w:name w:val="Heading 4 Char"/>
    <w:basedOn w:val="DefaultParagraphFont"/>
    <w:link w:val="Heading4"/>
    <w:uiPriority w:val="9"/>
    <w:semiHidden/>
    <w:rsid w:val="00EC5CA6"/>
    <w:rPr>
      <w:b/>
      <w:bCs/>
      <w:spacing w:val="5"/>
      <w:sz w:val="24"/>
      <w:szCs w:val="24"/>
    </w:rPr>
  </w:style>
  <w:style w:type="character" w:customStyle="1" w:styleId="Heading5Char">
    <w:name w:val="Heading 5 Char"/>
    <w:basedOn w:val="DefaultParagraphFont"/>
    <w:link w:val="Heading5"/>
    <w:uiPriority w:val="9"/>
    <w:semiHidden/>
    <w:rsid w:val="00EC5CA6"/>
    <w:rPr>
      <w:i/>
      <w:iCs/>
      <w:sz w:val="24"/>
      <w:szCs w:val="24"/>
    </w:rPr>
  </w:style>
  <w:style w:type="character" w:customStyle="1" w:styleId="Heading6Char">
    <w:name w:val="Heading 6 Char"/>
    <w:basedOn w:val="DefaultParagraphFont"/>
    <w:link w:val="Heading6"/>
    <w:uiPriority w:val="9"/>
    <w:semiHidden/>
    <w:rsid w:val="00EC5CA6"/>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EC5CA6"/>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EC5CA6"/>
    <w:rPr>
      <w:b/>
      <w:bCs/>
      <w:color w:val="7F7F7F" w:themeColor="text1" w:themeTint="80"/>
      <w:sz w:val="20"/>
      <w:szCs w:val="20"/>
    </w:rPr>
  </w:style>
  <w:style w:type="character" w:customStyle="1" w:styleId="Heading9Char">
    <w:name w:val="Heading 9 Char"/>
    <w:basedOn w:val="DefaultParagraphFont"/>
    <w:link w:val="Heading9"/>
    <w:uiPriority w:val="9"/>
    <w:semiHidden/>
    <w:rsid w:val="00EC5CA6"/>
    <w:rPr>
      <w:b/>
      <w:bCs/>
      <w:i/>
      <w:iCs/>
      <w:color w:val="7F7F7F" w:themeColor="text1" w:themeTint="80"/>
      <w:sz w:val="18"/>
      <w:szCs w:val="18"/>
    </w:rPr>
  </w:style>
  <w:style w:type="paragraph" w:styleId="Title">
    <w:name w:val="Title"/>
    <w:basedOn w:val="Normal"/>
    <w:next w:val="Normal"/>
    <w:link w:val="TitleChar"/>
    <w:uiPriority w:val="10"/>
    <w:qFormat/>
    <w:rsid w:val="00EC5CA6"/>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EC5CA6"/>
    <w:rPr>
      <w:smallCaps/>
      <w:sz w:val="52"/>
      <w:szCs w:val="52"/>
    </w:rPr>
  </w:style>
  <w:style w:type="paragraph" w:styleId="Subtitle">
    <w:name w:val="Subtitle"/>
    <w:basedOn w:val="Normal"/>
    <w:next w:val="Normal"/>
    <w:link w:val="SubtitleChar"/>
    <w:uiPriority w:val="11"/>
    <w:qFormat/>
    <w:rsid w:val="00EC5CA6"/>
    <w:rPr>
      <w:i/>
      <w:iCs/>
      <w:smallCaps/>
      <w:spacing w:val="10"/>
      <w:sz w:val="28"/>
      <w:szCs w:val="28"/>
    </w:rPr>
  </w:style>
  <w:style w:type="character" w:customStyle="1" w:styleId="SubtitleChar">
    <w:name w:val="Subtitle Char"/>
    <w:basedOn w:val="DefaultParagraphFont"/>
    <w:link w:val="Subtitle"/>
    <w:uiPriority w:val="11"/>
    <w:rsid w:val="00EC5CA6"/>
    <w:rPr>
      <w:i/>
      <w:iCs/>
      <w:smallCaps/>
      <w:spacing w:val="10"/>
      <w:sz w:val="28"/>
      <w:szCs w:val="28"/>
    </w:rPr>
  </w:style>
  <w:style w:type="character" w:styleId="Strong">
    <w:name w:val="Strong"/>
    <w:uiPriority w:val="22"/>
    <w:qFormat/>
    <w:rsid w:val="00EC5CA6"/>
    <w:rPr>
      <w:b/>
      <w:bCs/>
    </w:rPr>
  </w:style>
  <w:style w:type="character" w:styleId="Emphasis">
    <w:name w:val="Emphasis"/>
    <w:uiPriority w:val="20"/>
    <w:qFormat/>
    <w:rsid w:val="00EC5CA6"/>
    <w:rPr>
      <w:b/>
      <w:bCs/>
      <w:i/>
      <w:iCs/>
      <w:spacing w:val="10"/>
    </w:rPr>
  </w:style>
  <w:style w:type="paragraph" w:styleId="NoSpacing">
    <w:name w:val="No Spacing"/>
    <w:basedOn w:val="Normal"/>
    <w:uiPriority w:val="1"/>
    <w:qFormat/>
    <w:rsid w:val="00EC5CA6"/>
    <w:pPr>
      <w:spacing w:after="0" w:line="240" w:lineRule="auto"/>
    </w:pPr>
  </w:style>
  <w:style w:type="paragraph" w:styleId="Quote">
    <w:name w:val="Quote"/>
    <w:basedOn w:val="Normal"/>
    <w:next w:val="Normal"/>
    <w:link w:val="QuoteChar"/>
    <w:uiPriority w:val="29"/>
    <w:qFormat/>
    <w:rsid w:val="00EC5CA6"/>
    <w:rPr>
      <w:i/>
      <w:iCs/>
    </w:rPr>
  </w:style>
  <w:style w:type="character" w:customStyle="1" w:styleId="QuoteChar">
    <w:name w:val="Quote Char"/>
    <w:basedOn w:val="DefaultParagraphFont"/>
    <w:link w:val="Quote"/>
    <w:uiPriority w:val="29"/>
    <w:rsid w:val="00EC5CA6"/>
    <w:rPr>
      <w:i/>
      <w:iCs/>
    </w:rPr>
  </w:style>
  <w:style w:type="paragraph" w:styleId="IntenseQuote">
    <w:name w:val="Intense Quote"/>
    <w:basedOn w:val="Normal"/>
    <w:next w:val="Normal"/>
    <w:link w:val="IntenseQuoteChar"/>
    <w:uiPriority w:val="30"/>
    <w:qFormat/>
    <w:rsid w:val="00EC5CA6"/>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EC5CA6"/>
    <w:rPr>
      <w:i/>
      <w:iCs/>
    </w:rPr>
  </w:style>
  <w:style w:type="character" w:styleId="SubtleEmphasis">
    <w:name w:val="Subtle Emphasis"/>
    <w:uiPriority w:val="19"/>
    <w:qFormat/>
    <w:rsid w:val="00EC5CA6"/>
    <w:rPr>
      <w:i/>
      <w:iCs/>
    </w:rPr>
  </w:style>
  <w:style w:type="character" w:styleId="IntenseEmphasis">
    <w:name w:val="Intense Emphasis"/>
    <w:uiPriority w:val="21"/>
    <w:qFormat/>
    <w:rsid w:val="00EC5CA6"/>
    <w:rPr>
      <w:b/>
      <w:bCs/>
      <w:i/>
      <w:iCs/>
    </w:rPr>
  </w:style>
  <w:style w:type="character" w:styleId="SubtleReference">
    <w:name w:val="Subtle Reference"/>
    <w:basedOn w:val="DefaultParagraphFont"/>
    <w:uiPriority w:val="31"/>
    <w:qFormat/>
    <w:rsid w:val="00EC5CA6"/>
    <w:rPr>
      <w:smallCaps/>
    </w:rPr>
  </w:style>
  <w:style w:type="character" w:styleId="IntenseReference">
    <w:name w:val="Intense Reference"/>
    <w:uiPriority w:val="32"/>
    <w:qFormat/>
    <w:rsid w:val="00EC5CA6"/>
    <w:rPr>
      <w:b/>
      <w:bCs/>
      <w:smallCaps/>
    </w:rPr>
  </w:style>
  <w:style w:type="character" w:styleId="BookTitle">
    <w:name w:val="Book Title"/>
    <w:basedOn w:val="DefaultParagraphFont"/>
    <w:uiPriority w:val="33"/>
    <w:qFormat/>
    <w:rsid w:val="00EC5CA6"/>
    <w:rPr>
      <w:i/>
      <w:iCs/>
      <w:smallCaps/>
      <w:spacing w:val="5"/>
    </w:rPr>
  </w:style>
  <w:style w:type="paragraph" w:styleId="TOCHeading">
    <w:name w:val="TOC Heading"/>
    <w:basedOn w:val="Heading1"/>
    <w:next w:val="Normal"/>
    <w:uiPriority w:val="39"/>
    <w:semiHidden/>
    <w:unhideWhenUsed/>
    <w:qFormat/>
    <w:rsid w:val="00EC5CA6"/>
    <w:pPr>
      <w:outlineLvl w:val="9"/>
    </w:pPr>
    <w:rPr>
      <w:lang w:bidi="en-US"/>
    </w:rPr>
  </w:style>
  <w:style w:type="paragraph" w:styleId="FootnoteText">
    <w:name w:val="footnote text"/>
    <w:basedOn w:val="Normal"/>
    <w:link w:val="FootnoteTextChar"/>
    <w:uiPriority w:val="99"/>
    <w:unhideWhenUsed/>
    <w:rsid w:val="00171364"/>
    <w:pPr>
      <w:spacing w:after="0" w:line="240" w:lineRule="auto"/>
    </w:pPr>
    <w:rPr>
      <w:sz w:val="20"/>
      <w:szCs w:val="20"/>
    </w:rPr>
  </w:style>
  <w:style w:type="character" w:customStyle="1" w:styleId="FootnoteTextChar">
    <w:name w:val="Footnote Text Char"/>
    <w:basedOn w:val="DefaultParagraphFont"/>
    <w:link w:val="FootnoteText"/>
    <w:uiPriority w:val="99"/>
    <w:rsid w:val="00171364"/>
    <w:rPr>
      <w:sz w:val="20"/>
      <w:szCs w:val="20"/>
    </w:rPr>
  </w:style>
  <w:style w:type="character" w:styleId="FootnoteReference">
    <w:name w:val="footnote reference"/>
    <w:basedOn w:val="DefaultParagraphFont"/>
    <w:uiPriority w:val="99"/>
    <w:unhideWhenUsed/>
    <w:rsid w:val="00171364"/>
    <w:rPr>
      <w:vertAlign w:val="superscript"/>
    </w:rPr>
  </w:style>
  <w:style w:type="paragraph" w:styleId="Header">
    <w:name w:val="header"/>
    <w:basedOn w:val="Normal"/>
    <w:link w:val="HeaderChar"/>
    <w:uiPriority w:val="99"/>
    <w:unhideWhenUsed/>
    <w:rsid w:val="000810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102B"/>
  </w:style>
  <w:style w:type="paragraph" w:styleId="Footer">
    <w:name w:val="footer"/>
    <w:basedOn w:val="Normal"/>
    <w:link w:val="FooterChar"/>
    <w:uiPriority w:val="99"/>
    <w:unhideWhenUsed/>
    <w:rsid w:val="000810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102B"/>
  </w:style>
  <w:style w:type="paragraph" w:styleId="Bibliography">
    <w:name w:val="Bibliography"/>
    <w:basedOn w:val="Normal"/>
    <w:next w:val="Normal"/>
    <w:uiPriority w:val="37"/>
    <w:unhideWhenUsed/>
    <w:rsid w:val="0092400F"/>
    <w:pPr>
      <w:spacing w:after="0" w:line="240" w:lineRule="auto"/>
      <w:ind w:left="720" w:hanging="720"/>
    </w:pPr>
  </w:style>
  <w:style w:type="paragraph" w:styleId="BalloonText">
    <w:name w:val="Balloon Text"/>
    <w:basedOn w:val="Normal"/>
    <w:link w:val="BalloonTextChar"/>
    <w:uiPriority w:val="99"/>
    <w:semiHidden/>
    <w:unhideWhenUsed/>
    <w:rsid w:val="00A17E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7E41"/>
    <w:rPr>
      <w:rFonts w:ascii="Tahoma" w:hAnsi="Tahoma" w:cs="Tahoma"/>
      <w:sz w:val="16"/>
      <w:szCs w:val="16"/>
    </w:rPr>
  </w:style>
  <w:style w:type="paragraph" w:styleId="Caption">
    <w:name w:val="caption"/>
    <w:basedOn w:val="Normal"/>
    <w:next w:val="Normal"/>
    <w:uiPriority w:val="35"/>
    <w:unhideWhenUsed/>
    <w:rsid w:val="00A17E41"/>
    <w:pPr>
      <w:spacing w:line="240" w:lineRule="auto"/>
    </w:pPr>
    <w:rPr>
      <w:b/>
      <w:bCs/>
      <w:color w:val="4F81BD" w:themeColor="accent1"/>
      <w:sz w:val="18"/>
      <w:szCs w:val="18"/>
    </w:rPr>
  </w:style>
  <w:style w:type="character" w:styleId="Hyperlink">
    <w:name w:val="Hyperlink"/>
    <w:basedOn w:val="DefaultParagraphFont"/>
    <w:uiPriority w:val="99"/>
    <w:semiHidden/>
    <w:unhideWhenUsed/>
    <w:rsid w:val="00B523D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1DF4"/>
    <w:pPr>
      <w:spacing w:line="480" w:lineRule="auto"/>
    </w:pPr>
    <w:rPr>
      <w:sz w:val="24"/>
    </w:rPr>
  </w:style>
  <w:style w:type="paragraph" w:styleId="Heading1">
    <w:name w:val="heading 1"/>
    <w:basedOn w:val="Normal"/>
    <w:next w:val="Normal"/>
    <w:link w:val="Heading1Char"/>
    <w:uiPriority w:val="9"/>
    <w:qFormat/>
    <w:rsid w:val="009408E2"/>
    <w:pPr>
      <w:keepNext/>
      <w:numPr>
        <w:numId w:val="6"/>
      </w:num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9408E2"/>
    <w:pPr>
      <w:keepNext/>
      <w:numPr>
        <w:ilvl w:val="1"/>
        <w:numId w:val="6"/>
      </w:numPr>
      <w:spacing w:before="200" w:after="0"/>
      <w:ind w:left="0"/>
      <w:outlineLvl w:val="1"/>
    </w:pPr>
    <w:rPr>
      <w:smallCaps/>
      <w:sz w:val="28"/>
      <w:szCs w:val="28"/>
    </w:rPr>
  </w:style>
  <w:style w:type="paragraph" w:styleId="Heading3">
    <w:name w:val="heading 3"/>
    <w:basedOn w:val="Normal"/>
    <w:next w:val="Normal"/>
    <w:link w:val="Heading3Char"/>
    <w:uiPriority w:val="9"/>
    <w:semiHidden/>
    <w:unhideWhenUsed/>
    <w:qFormat/>
    <w:rsid w:val="00EC5CA6"/>
    <w:pPr>
      <w:numPr>
        <w:ilvl w:val="2"/>
        <w:numId w:val="6"/>
      </w:num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EC5CA6"/>
    <w:pPr>
      <w:numPr>
        <w:ilvl w:val="3"/>
        <w:numId w:val="6"/>
      </w:numPr>
      <w:spacing w:after="0" w:line="271" w:lineRule="auto"/>
      <w:outlineLvl w:val="3"/>
    </w:pPr>
    <w:rPr>
      <w:b/>
      <w:bCs/>
      <w:spacing w:val="5"/>
      <w:szCs w:val="24"/>
    </w:rPr>
  </w:style>
  <w:style w:type="paragraph" w:styleId="Heading5">
    <w:name w:val="heading 5"/>
    <w:basedOn w:val="Normal"/>
    <w:next w:val="Normal"/>
    <w:link w:val="Heading5Char"/>
    <w:uiPriority w:val="9"/>
    <w:semiHidden/>
    <w:unhideWhenUsed/>
    <w:qFormat/>
    <w:rsid w:val="00EC5CA6"/>
    <w:pPr>
      <w:numPr>
        <w:ilvl w:val="4"/>
        <w:numId w:val="6"/>
      </w:numPr>
      <w:spacing w:after="0" w:line="271" w:lineRule="auto"/>
      <w:outlineLvl w:val="4"/>
    </w:pPr>
    <w:rPr>
      <w:i/>
      <w:iCs/>
      <w:szCs w:val="24"/>
    </w:rPr>
  </w:style>
  <w:style w:type="paragraph" w:styleId="Heading6">
    <w:name w:val="heading 6"/>
    <w:basedOn w:val="Normal"/>
    <w:next w:val="Normal"/>
    <w:link w:val="Heading6Char"/>
    <w:uiPriority w:val="9"/>
    <w:semiHidden/>
    <w:unhideWhenUsed/>
    <w:qFormat/>
    <w:rsid w:val="00EC5CA6"/>
    <w:pPr>
      <w:numPr>
        <w:ilvl w:val="5"/>
        <w:numId w:val="6"/>
      </w:num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EC5CA6"/>
    <w:pPr>
      <w:numPr>
        <w:ilvl w:val="6"/>
        <w:numId w:val="6"/>
      </w:num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EC5CA6"/>
    <w:pPr>
      <w:numPr>
        <w:ilvl w:val="7"/>
        <w:numId w:val="6"/>
      </w:num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EC5CA6"/>
    <w:pPr>
      <w:numPr>
        <w:ilvl w:val="8"/>
        <w:numId w:val="6"/>
      </w:num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5CA6"/>
    <w:pPr>
      <w:ind w:left="720"/>
      <w:contextualSpacing/>
    </w:pPr>
  </w:style>
  <w:style w:type="character" w:customStyle="1" w:styleId="Heading1Char">
    <w:name w:val="Heading 1 Char"/>
    <w:basedOn w:val="DefaultParagraphFont"/>
    <w:link w:val="Heading1"/>
    <w:uiPriority w:val="9"/>
    <w:rsid w:val="009408E2"/>
    <w:rPr>
      <w:smallCaps/>
      <w:spacing w:val="5"/>
      <w:sz w:val="36"/>
      <w:szCs w:val="36"/>
    </w:rPr>
  </w:style>
  <w:style w:type="character" w:customStyle="1" w:styleId="Heading2Char">
    <w:name w:val="Heading 2 Char"/>
    <w:basedOn w:val="DefaultParagraphFont"/>
    <w:link w:val="Heading2"/>
    <w:uiPriority w:val="9"/>
    <w:rsid w:val="009408E2"/>
    <w:rPr>
      <w:smallCaps/>
      <w:sz w:val="28"/>
      <w:szCs w:val="28"/>
    </w:rPr>
  </w:style>
  <w:style w:type="character" w:customStyle="1" w:styleId="Heading3Char">
    <w:name w:val="Heading 3 Char"/>
    <w:basedOn w:val="DefaultParagraphFont"/>
    <w:link w:val="Heading3"/>
    <w:uiPriority w:val="9"/>
    <w:semiHidden/>
    <w:rsid w:val="00EC5CA6"/>
    <w:rPr>
      <w:i/>
      <w:iCs/>
      <w:smallCaps/>
      <w:spacing w:val="5"/>
      <w:sz w:val="26"/>
      <w:szCs w:val="26"/>
    </w:rPr>
  </w:style>
  <w:style w:type="character" w:customStyle="1" w:styleId="Heading4Char">
    <w:name w:val="Heading 4 Char"/>
    <w:basedOn w:val="DefaultParagraphFont"/>
    <w:link w:val="Heading4"/>
    <w:uiPriority w:val="9"/>
    <w:semiHidden/>
    <w:rsid w:val="00EC5CA6"/>
    <w:rPr>
      <w:b/>
      <w:bCs/>
      <w:spacing w:val="5"/>
      <w:sz w:val="24"/>
      <w:szCs w:val="24"/>
    </w:rPr>
  </w:style>
  <w:style w:type="character" w:customStyle="1" w:styleId="Heading5Char">
    <w:name w:val="Heading 5 Char"/>
    <w:basedOn w:val="DefaultParagraphFont"/>
    <w:link w:val="Heading5"/>
    <w:uiPriority w:val="9"/>
    <w:semiHidden/>
    <w:rsid w:val="00EC5CA6"/>
    <w:rPr>
      <w:i/>
      <w:iCs/>
      <w:sz w:val="24"/>
      <w:szCs w:val="24"/>
    </w:rPr>
  </w:style>
  <w:style w:type="character" w:customStyle="1" w:styleId="Heading6Char">
    <w:name w:val="Heading 6 Char"/>
    <w:basedOn w:val="DefaultParagraphFont"/>
    <w:link w:val="Heading6"/>
    <w:uiPriority w:val="9"/>
    <w:semiHidden/>
    <w:rsid w:val="00EC5CA6"/>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EC5CA6"/>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EC5CA6"/>
    <w:rPr>
      <w:b/>
      <w:bCs/>
      <w:color w:val="7F7F7F" w:themeColor="text1" w:themeTint="80"/>
      <w:sz w:val="20"/>
      <w:szCs w:val="20"/>
    </w:rPr>
  </w:style>
  <w:style w:type="character" w:customStyle="1" w:styleId="Heading9Char">
    <w:name w:val="Heading 9 Char"/>
    <w:basedOn w:val="DefaultParagraphFont"/>
    <w:link w:val="Heading9"/>
    <w:uiPriority w:val="9"/>
    <w:semiHidden/>
    <w:rsid w:val="00EC5CA6"/>
    <w:rPr>
      <w:b/>
      <w:bCs/>
      <w:i/>
      <w:iCs/>
      <w:color w:val="7F7F7F" w:themeColor="text1" w:themeTint="80"/>
      <w:sz w:val="18"/>
      <w:szCs w:val="18"/>
    </w:rPr>
  </w:style>
  <w:style w:type="paragraph" w:styleId="Title">
    <w:name w:val="Title"/>
    <w:basedOn w:val="Normal"/>
    <w:next w:val="Normal"/>
    <w:link w:val="TitleChar"/>
    <w:uiPriority w:val="10"/>
    <w:qFormat/>
    <w:rsid w:val="00EC5CA6"/>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EC5CA6"/>
    <w:rPr>
      <w:smallCaps/>
      <w:sz w:val="52"/>
      <w:szCs w:val="52"/>
    </w:rPr>
  </w:style>
  <w:style w:type="paragraph" w:styleId="Subtitle">
    <w:name w:val="Subtitle"/>
    <w:basedOn w:val="Normal"/>
    <w:next w:val="Normal"/>
    <w:link w:val="SubtitleChar"/>
    <w:uiPriority w:val="11"/>
    <w:qFormat/>
    <w:rsid w:val="00EC5CA6"/>
    <w:rPr>
      <w:i/>
      <w:iCs/>
      <w:smallCaps/>
      <w:spacing w:val="10"/>
      <w:sz w:val="28"/>
      <w:szCs w:val="28"/>
    </w:rPr>
  </w:style>
  <w:style w:type="character" w:customStyle="1" w:styleId="SubtitleChar">
    <w:name w:val="Subtitle Char"/>
    <w:basedOn w:val="DefaultParagraphFont"/>
    <w:link w:val="Subtitle"/>
    <w:uiPriority w:val="11"/>
    <w:rsid w:val="00EC5CA6"/>
    <w:rPr>
      <w:i/>
      <w:iCs/>
      <w:smallCaps/>
      <w:spacing w:val="10"/>
      <w:sz w:val="28"/>
      <w:szCs w:val="28"/>
    </w:rPr>
  </w:style>
  <w:style w:type="character" w:styleId="Strong">
    <w:name w:val="Strong"/>
    <w:uiPriority w:val="22"/>
    <w:qFormat/>
    <w:rsid w:val="00EC5CA6"/>
    <w:rPr>
      <w:b/>
      <w:bCs/>
    </w:rPr>
  </w:style>
  <w:style w:type="character" w:styleId="Emphasis">
    <w:name w:val="Emphasis"/>
    <w:uiPriority w:val="20"/>
    <w:qFormat/>
    <w:rsid w:val="00EC5CA6"/>
    <w:rPr>
      <w:b/>
      <w:bCs/>
      <w:i/>
      <w:iCs/>
      <w:spacing w:val="10"/>
    </w:rPr>
  </w:style>
  <w:style w:type="paragraph" w:styleId="NoSpacing">
    <w:name w:val="No Spacing"/>
    <w:basedOn w:val="Normal"/>
    <w:uiPriority w:val="1"/>
    <w:qFormat/>
    <w:rsid w:val="00EC5CA6"/>
    <w:pPr>
      <w:spacing w:after="0" w:line="240" w:lineRule="auto"/>
    </w:pPr>
  </w:style>
  <w:style w:type="paragraph" w:styleId="Quote">
    <w:name w:val="Quote"/>
    <w:basedOn w:val="Normal"/>
    <w:next w:val="Normal"/>
    <w:link w:val="QuoteChar"/>
    <w:uiPriority w:val="29"/>
    <w:qFormat/>
    <w:rsid w:val="00EC5CA6"/>
    <w:rPr>
      <w:i/>
      <w:iCs/>
    </w:rPr>
  </w:style>
  <w:style w:type="character" w:customStyle="1" w:styleId="QuoteChar">
    <w:name w:val="Quote Char"/>
    <w:basedOn w:val="DefaultParagraphFont"/>
    <w:link w:val="Quote"/>
    <w:uiPriority w:val="29"/>
    <w:rsid w:val="00EC5CA6"/>
    <w:rPr>
      <w:i/>
      <w:iCs/>
    </w:rPr>
  </w:style>
  <w:style w:type="paragraph" w:styleId="IntenseQuote">
    <w:name w:val="Intense Quote"/>
    <w:basedOn w:val="Normal"/>
    <w:next w:val="Normal"/>
    <w:link w:val="IntenseQuoteChar"/>
    <w:uiPriority w:val="30"/>
    <w:qFormat/>
    <w:rsid w:val="00EC5CA6"/>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EC5CA6"/>
    <w:rPr>
      <w:i/>
      <w:iCs/>
    </w:rPr>
  </w:style>
  <w:style w:type="character" w:styleId="SubtleEmphasis">
    <w:name w:val="Subtle Emphasis"/>
    <w:uiPriority w:val="19"/>
    <w:qFormat/>
    <w:rsid w:val="00EC5CA6"/>
    <w:rPr>
      <w:i/>
      <w:iCs/>
    </w:rPr>
  </w:style>
  <w:style w:type="character" w:styleId="IntenseEmphasis">
    <w:name w:val="Intense Emphasis"/>
    <w:uiPriority w:val="21"/>
    <w:qFormat/>
    <w:rsid w:val="00EC5CA6"/>
    <w:rPr>
      <w:b/>
      <w:bCs/>
      <w:i/>
      <w:iCs/>
    </w:rPr>
  </w:style>
  <w:style w:type="character" w:styleId="SubtleReference">
    <w:name w:val="Subtle Reference"/>
    <w:basedOn w:val="DefaultParagraphFont"/>
    <w:uiPriority w:val="31"/>
    <w:qFormat/>
    <w:rsid w:val="00EC5CA6"/>
    <w:rPr>
      <w:smallCaps/>
    </w:rPr>
  </w:style>
  <w:style w:type="character" w:styleId="IntenseReference">
    <w:name w:val="Intense Reference"/>
    <w:uiPriority w:val="32"/>
    <w:qFormat/>
    <w:rsid w:val="00EC5CA6"/>
    <w:rPr>
      <w:b/>
      <w:bCs/>
      <w:smallCaps/>
    </w:rPr>
  </w:style>
  <w:style w:type="character" w:styleId="BookTitle">
    <w:name w:val="Book Title"/>
    <w:basedOn w:val="DefaultParagraphFont"/>
    <w:uiPriority w:val="33"/>
    <w:qFormat/>
    <w:rsid w:val="00EC5CA6"/>
    <w:rPr>
      <w:i/>
      <w:iCs/>
      <w:smallCaps/>
      <w:spacing w:val="5"/>
    </w:rPr>
  </w:style>
  <w:style w:type="paragraph" w:styleId="TOCHeading">
    <w:name w:val="TOC Heading"/>
    <w:basedOn w:val="Heading1"/>
    <w:next w:val="Normal"/>
    <w:uiPriority w:val="39"/>
    <w:semiHidden/>
    <w:unhideWhenUsed/>
    <w:qFormat/>
    <w:rsid w:val="00EC5CA6"/>
    <w:pPr>
      <w:outlineLvl w:val="9"/>
    </w:pPr>
    <w:rPr>
      <w:lang w:bidi="en-US"/>
    </w:rPr>
  </w:style>
  <w:style w:type="paragraph" w:styleId="FootnoteText">
    <w:name w:val="footnote text"/>
    <w:basedOn w:val="Normal"/>
    <w:link w:val="FootnoteTextChar"/>
    <w:uiPriority w:val="99"/>
    <w:unhideWhenUsed/>
    <w:rsid w:val="00171364"/>
    <w:pPr>
      <w:spacing w:after="0" w:line="240" w:lineRule="auto"/>
    </w:pPr>
    <w:rPr>
      <w:sz w:val="20"/>
      <w:szCs w:val="20"/>
    </w:rPr>
  </w:style>
  <w:style w:type="character" w:customStyle="1" w:styleId="FootnoteTextChar">
    <w:name w:val="Footnote Text Char"/>
    <w:basedOn w:val="DefaultParagraphFont"/>
    <w:link w:val="FootnoteText"/>
    <w:uiPriority w:val="99"/>
    <w:rsid w:val="00171364"/>
    <w:rPr>
      <w:sz w:val="20"/>
      <w:szCs w:val="20"/>
    </w:rPr>
  </w:style>
  <w:style w:type="character" w:styleId="FootnoteReference">
    <w:name w:val="footnote reference"/>
    <w:basedOn w:val="DefaultParagraphFont"/>
    <w:uiPriority w:val="99"/>
    <w:unhideWhenUsed/>
    <w:rsid w:val="00171364"/>
    <w:rPr>
      <w:vertAlign w:val="superscript"/>
    </w:rPr>
  </w:style>
  <w:style w:type="paragraph" w:styleId="Header">
    <w:name w:val="header"/>
    <w:basedOn w:val="Normal"/>
    <w:link w:val="HeaderChar"/>
    <w:uiPriority w:val="99"/>
    <w:unhideWhenUsed/>
    <w:rsid w:val="000810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102B"/>
  </w:style>
  <w:style w:type="paragraph" w:styleId="Footer">
    <w:name w:val="footer"/>
    <w:basedOn w:val="Normal"/>
    <w:link w:val="FooterChar"/>
    <w:uiPriority w:val="99"/>
    <w:unhideWhenUsed/>
    <w:rsid w:val="000810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102B"/>
  </w:style>
  <w:style w:type="paragraph" w:styleId="Bibliography">
    <w:name w:val="Bibliography"/>
    <w:basedOn w:val="Normal"/>
    <w:next w:val="Normal"/>
    <w:uiPriority w:val="37"/>
    <w:unhideWhenUsed/>
    <w:rsid w:val="0092400F"/>
    <w:pPr>
      <w:spacing w:after="0" w:line="240" w:lineRule="auto"/>
      <w:ind w:left="720" w:hanging="720"/>
    </w:pPr>
  </w:style>
  <w:style w:type="paragraph" w:styleId="BalloonText">
    <w:name w:val="Balloon Text"/>
    <w:basedOn w:val="Normal"/>
    <w:link w:val="BalloonTextChar"/>
    <w:uiPriority w:val="99"/>
    <w:semiHidden/>
    <w:unhideWhenUsed/>
    <w:rsid w:val="00A17E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7E41"/>
    <w:rPr>
      <w:rFonts w:ascii="Tahoma" w:hAnsi="Tahoma" w:cs="Tahoma"/>
      <w:sz w:val="16"/>
      <w:szCs w:val="16"/>
    </w:rPr>
  </w:style>
  <w:style w:type="paragraph" w:styleId="Caption">
    <w:name w:val="caption"/>
    <w:basedOn w:val="Normal"/>
    <w:next w:val="Normal"/>
    <w:uiPriority w:val="35"/>
    <w:unhideWhenUsed/>
    <w:rsid w:val="00A17E41"/>
    <w:pPr>
      <w:spacing w:line="240" w:lineRule="auto"/>
    </w:pPr>
    <w:rPr>
      <w:b/>
      <w:bCs/>
      <w:color w:val="4F81BD" w:themeColor="accent1"/>
      <w:sz w:val="18"/>
      <w:szCs w:val="18"/>
    </w:rPr>
  </w:style>
  <w:style w:type="character" w:styleId="Hyperlink">
    <w:name w:val="Hyperlink"/>
    <w:basedOn w:val="DefaultParagraphFont"/>
    <w:uiPriority w:val="99"/>
    <w:semiHidden/>
    <w:unhideWhenUsed/>
    <w:rsid w:val="00B523D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5883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574633-5AA2-4EF4-9AF4-BF0645AB9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28</Pages>
  <Words>13949</Words>
  <Characters>79512</Characters>
  <Application>Microsoft Office Word</Application>
  <DocSecurity>0</DocSecurity>
  <Lines>662</Lines>
  <Paragraphs>186</Paragraphs>
  <ScaleCrop>false</ScaleCrop>
  <HeadingPairs>
    <vt:vector size="2" baseType="variant">
      <vt:variant>
        <vt:lpstr>Title</vt:lpstr>
      </vt:variant>
      <vt:variant>
        <vt:i4>1</vt:i4>
      </vt:variant>
    </vt:vector>
  </HeadingPairs>
  <TitlesOfParts>
    <vt:vector size="1" baseType="lpstr">
      <vt:lpstr/>
    </vt:vector>
  </TitlesOfParts>
  <Company>University Of Johannesburg</Company>
  <LinksUpToDate>false</LinksUpToDate>
  <CharactersWithSpaces>93275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pc</dc:creator>
  <cp:lastModifiedBy>Broadbent, Alex</cp:lastModifiedBy>
  <cp:revision>45</cp:revision>
  <cp:lastPrinted>2013-08-09T08:20:00Z</cp:lastPrinted>
  <dcterms:created xsi:type="dcterms:W3CDTF">2013-08-09T03:42:00Z</dcterms:created>
  <dcterms:modified xsi:type="dcterms:W3CDTF">2013-08-09T10:04:00Z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zotero-version="4.0.4"&gt;&lt;session id="4pDidI5V"/&gt;&lt;style id="http://www.zotero.org/styles/chicago-author-date" hasBibliography="1" bibliographyStyleHasBeenSet="1"/&gt;&lt;prefs&gt;&lt;pref name="fieldType" value="Field"/&gt;&lt;pref name="storeReference</vt:lpwstr>
  </property>
  <property fmtid="{D5CDD505-2E9C-101B-9397-08002B2CF9AE}" pid="3" name="ZOTERO_PREF_2">
    <vt:lpwstr>s" value="true"/&gt;&lt;pref name="noteType" value="0"/&gt;&lt;pref name="automaticJournalAbbreviations" value="false"/&gt;&lt;/prefs&gt;&lt;/data&gt;</vt:lpwstr>
  </property>
</Properties>
</file>